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36164" w14:textId="7A208785" w:rsidR="002D77F4" w:rsidRDefault="00B84F5C" w:rsidP="006165D2">
      <w:pPr>
        <w:jc w:val="center"/>
        <w:rPr>
          <w:rFonts w:ascii="Calibri" w:hAnsi="Calibri"/>
          <w:b/>
          <w:bCs/>
          <w:sz w:val="28"/>
          <w:szCs w:val="28"/>
        </w:rPr>
      </w:pPr>
      <w:r>
        <w:rPr>
          <w:rFonts w:ascii="Calibri" w:hAnsi="Calibri"/>
          <w:b/>
          <w:noProof/>
        </w:rPr>
        <w:drawing>
          <wp:anchor distT="0" distB="0" distL="114300" distR="114300" simplePos="0" relativeHeight="251658240" behindDoc="0" locked="0" layoutInCell="1" allowOverlap="1" wp14:anchorId="42F5D21B" wp14:editId="3DF707BE">
            <wp:simplePos x="0" y="0"/>
            <wp:positionH relativeFrom="column">
              <wp:posOffset>2514600</wp:posOffset>
            </wp:positionH>
            <wp:positionV relativeFrom="paragraph">
              <wp:posOffset>187960</wp:posOffset>
            </wp:positionV>
            <wp:extent cx="1724025" cy="43942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tistry_lockup_horizontal_Aggie_Maroon_CMYK.jpg"/>
                    <pic:cNvPicPr/>
                  </pic:nvPicPr>
                  <pic:blipFill>
                    <a:blip r:embed="rId7">
                      <a:extLst>
                        <a:ext uri="{28A0092B-C50C-407E-A947-70E740481C1C}">
                          <a14:useLocalDpi xmlns:a14="http://schemas.microsoft.com/office/drawing/2010/main" val="0"/>
                        </a:ext>
                      </a:extLst>
                    </a:blip>
                    <a:stretch>
                      <a:fillRect/>
                    </a:stretch>
                  </pic:blipFill>
                  <pic:spPr>
                    <a:xfrm>
                      <a:off x="0" y="0"/>
                      <a:ext cx="1724025" cy="439420"/>
                    </a:xfrm>
                    <a:prstGeom prst="rect">
                      <a:avLst/>
                    </a:prstGeom>
                  </pic:spPr>
                </pic:pic>
              </a:graphicData>
            </a:graphic>
            <wp14:sizeRelH relativeFrom="page">
              <wp14:pctWidth>0</wp14:pctWidth>
            </wp14:sizeRelH>
            <wp14:sizeRelV relativeFrom="page">
              <wp14:pctHeight>0</wp14:pctHeight>
            </wp14:sizeRelV>
          </wp:anchor>
        </w:drawing>
      </w:r>
      <w:r w:rsidR="006560DD">
        <w:rPr>
          <w:rFonts w:ascii="Calibri" w:hAnsi="Calibri"/>
          <w:b/>
          <w:bCs/>
          <w:sz w:val="28"/>
          <w:szCs w:val="28"/>
        </w:rPr>
        <w:t>DEP</w:t>
      </w:r>
      <w:r w:rsidR="006554DB">
        <w:rPr>
          <w:rFonts w:ascii="Calibri" w:hAnsi="Calibri"/>
          <w:b/>
          <w:bCs/>
          <w:sz w:val="28"/>
          <w:szCs w:val="28"/>
        </w:rPr>
        <w:t>A</w:t>
      </w:r>
      <w:r w:rsidR="006560DD">
        <w:rPr>
          <w:rFonts w:ascii="Calibri" w:hAnsi="Calibri"/>
          <w:b/>
          <w:bCs/>
          <w:sz w:val="28"/>
          <w:szCs w:val="28"/>
        </w:rPr>
        <w:t>RTMENT OF BIOMEDICAL SCIENCES</w:t>
      </w:r>
    </w:p>
    <w:p w14:paraId="2D3C0F1F" w14:textId="3A4C1436" w:rsidR="00FB61A8" w:rsidRPr="003661A0" w:rsidRDefault="00FB61A8" w:rsidP="00FB61A8">
      <w:pPr>
        <w:jc w:val="center"/>
        <w:rPr>
          <w:rFonts w:ascii="Calibri" w:hAnsi="Calibri"/>
          <w:b/>
          <w:sz w:val="28"/>
          <w:szCs w:val="28"/>
        </w:rPr>
      </w:pPr>
      <w:r w:rsidRPr="003661A0">
        <w:rPr>
          <w:rFonts w:ascii="Calibri" w:hAnsi="Calibri"/>
          <w:b/>
          <w:sz w:val="28"/>
          <w:szCs w:val="28"/>
        </w:rPr>
        <w:t>STANDARD OPERATING PROCEDURES</w:t>
      </w:r>
      <w:r w:rsidR="006560DD">
        <w:rPr>
          <w:rFonts w:ascii="Calibri" w:hAnsi="Calibri"/>
          <w:b/>
          <w:sz w:val="28"/>
          <w:szCs w:val="28"/>
        </w:rPr>
        <w:t xml:space="preserve"> (SOP)</w:t>
      </w:r>
    </w:p>
    <w:p w14:paraId="741CF146" w14:textId="77777777" w:rsidR="00FB61A8" w:rsidRPr="003661A0" w:rsidRDefault="00FB61A8" w:rsidP="00FB61A8">
      <w:pPr>
        <w:autoSpaceDE w:val="0"/>
        <w:autoSpaceDN w:val="0"/>
        <w:adjustRightInd w:val="0"/>
        <w:rPr>
          <w:rFonts w:ascii="Calibri" w:hAnsi="Calibri"/>
          <w:b/>
          <w:bCs/>
          <w:sz w:val="28"/>
          <w:szCs w:val="28"/>
        </w:rPr>
      </w:pPr>
    </w:p>
    <w:p w14:paraId="570BB3BF" w14:textId="5B937C02" w:rsidR="00B84F5C" w:rsidRPr="002A0D31" w:rsidRDefault="00AF2085" w:rsidP="006560DD">
      <w:pPr>
        <w:pStyle w:val="Header"/>
        <w:rPr>
          <w:rFonts w:ascii="Calibri" w:hAnsi="Calibri"/>
          <w:b/>
        </w:rPr>
      </w:pPr>
      <w:r w:rsidRPr="002A0D31">
        <w:rPr>
          <w:rFonts w:ascii="Calibri" w:hAnsi="Calibri"/>
          <w:b/>
        </w:rPr>
        <w:t xml:space="preserve">Approved </w:t>
      </w:r>
      <w:r w:rsidR="004F2DC8">
        <w:rPr>
          <w:rFonts w:ascii="Calibri" w:hAnsi="Calibri"/>
          <w:b/>
        </w:rPr>
        <w:t>09/25/2020</w:t>
      </w:r>
    </w:p>
    <w:p w14:paraId="76FB94C1" w14:textId="77777777" w:rsidR="00AF2085" w:rsidRPr="003661A0" w:rsidRDefault="00AF2085">
      <w:pPr>
        <w:rPr>
          <w:rFonts w:ascii="Calibri" w:hAnsi="Calibri"/>
          <w:b/>
        </w:rPr>
      </w:pPr>
    </w:p>
    <w:p w14:paraId="2C869F4F" w14:textId="041A91ED" w:rsidR="002D77F4" w:rsidRPr="00B351A5" w:rsidRDefault="002D77F4">
      <w:pPr>
        <w:rPr>
          <w:rFonts w:ascii="Calibri" w:hAnsi="Calibri"/>
          <w:b/>
        </w:rPr>
      </w:pPr>
      <w:r w:rsidRPr="00B351A5">
        <w:rPr>
          <w:rFonts w:ascii="Calibri" w:hAnsi="Calibri"/>
          <w:b/>
        </w:rPr>
        <w:t>Article 1 – Purpose</w:t>
      </w:r>
      <w:r w:rsidR="006560DD">
        <w:rPr>
          <w:rFonts w:ascii="Calibri" w:hAnsi="Calibri"/>
          <w:b/>
        </w:rPr>
        <w:t xml:space="preserve"> of the SOP</w:t>
      </w:r>
    </w:p>
    <w:p w14:paraId="439A6274" w14:textId="77777777" w:rsidR="002D77F4" w:rsidRPr="00B351A5" w:rsidRDefault="002D77F4">
      <w:pPr>
        <w:rPr>
          <w:rFonts w:ascii="Calibri" w:hAnsi="Calibri"/>
        </w:rPr>
      </w:pPr>
    </w:p>
    <w:p w14:paraId="20A5D728" w14:textId="044F4DA6" w:rsidR="002D77F4" w:rsidRPr="00B351A5" w:rsidRDefault="002D77F4">
      <w:pPr>
        <w:rPr>
          <w:rFonts w:ascii="Calibri" w:hAnsi="Calibri"/>
        </w:rPr>
      </w:pPr>
      <w:r w:rsidRPr="00B351A5">
        <w:rPr>
          <w:rFonts w:ascii="Calibri" w:hAnsi="Calibri"/>
        </w:rPr>
        <w:t>Th</w:t>
      </w:r>
      <w:r w:rsidR="00346A43">
        <w:rPr>
          <w:rFonts w:ascii="Calibri" w:hAnsi="Calibri"/>
        </w:rPr>
        <w:t>is</w:t>
      </w:r>
      <w:r w:rsidRPr="00B351A5">
        <w:rPr>
          <w:rFonts w:ascii="Calibri" w:hAnsi="Calibri"/>
        </w:rPr>
        <w:t xml:space="preserve"> </w:t>
      </w:r>
      <w:r w:rsidR="006560DD">
        <w:rPr>
          <w:rFonts w:ascii="Calibri" w:hAnsi="Calibri"/>
        </w:rPr>
        <w:t>SOP</w:t>
      </w:r>
      <w:r w:rsidR="00346A43">
        <w:rPr>
          <w:rFonts w:ascii="Calibri" w:hAnsi="Calibri"/>
        </w:rPr>
        <w:t xml:space="preserve"> serves to describe BMS policies and procedures not outlined in the College of Dentistry APT guidelines or in any other documents.</w:t>
      </w:r>
    </w:p>
    <w:p w14:paraId="153BDF11" w14:textId="77777777" w:rsidR="002D77F4" w:rsidRPr="00B351A5" w:rsidRDefault="002D77F4">
      <w:pPr>
        <w:rPr>
          <w:rFonts w:ascii="Calibri" w:hAnsi="Calibri"/>
        </w:rPr>
      </w:pPr>
    </w:p>
    <w:p w14:paraId="1481AADD" w14:textId="7C36C2DE" w:rsidR="003F4270" w:rsidRPr="00B351A5" w:rsidRDefault="003F4270" w:rsidP="003F4270">
      <w:pPr>
        <w:rPr>
          <w:rFonts w:ascii="Calibri" w:hAnsi="Calibri"/>
          <w:b/>
        </w:rPr>
      </w:pPr>
      <w:r w:rsidRPr="00B351A5">
        <w:rPr>
          <w:rFonts w:ascii="Calibri" w:hAnsi="Calibri"/>
          <w:b/>
        </w:rPr>
        <w:t xml:space="preserve">Article 2 – </w:t>
      </w:r>
      <w:r>
        <w:rPr>
          <w:rFonts w:ascii="Calibri" w:hAnsi="Calibri"/>
          <w:b/>
        </w:rPr>
        <w:t>BMS Committees</w:t>
      </w:r>
    </w:p>
    <w:p w14:paraId="743099F9" w14:textId="77777777" w:rsidR="003F4270" w:rsidRDefault="003F4270" w:rsidP="002D77F4">
      <w:pPr>
        <w:autoSpaceDE w:val="0"/>
        <w:autoSpaceDN w:val="0"/>
        <w:adjustRightInd w:val="0"/>
        <w:rPr>
          <w:rFonts w:ascii="Calibri" w:hAnsi="Calibri"/>
        </w:rPr>
      </w:pPr>
    </w:p>
    <w:p w14:paraId="76EAAD17" w14:textId="25158FE1" w:rsidR="002D77F4" w:rsidRDefault="00346A43" w:rsidP="002D77F4">
      <w:pPr>
        <w:autoSpaceDE w:val="0"/>
        <w:autoSpaceDN w:val="0"/>
        <w:adjustRightInd w:val="0"/>
        <w:rPr>
          <w:rFonts w:ascii="Calibri" w:hAnsi="Calibri"/>
        </w:rPr>
      </w:pPr>
      <w:r>
        <w:rPr>
          <w:rFonts w:ascii="Calibri" w:hAnsi="Calibri"/>
        </w:rPr>
        <w:t xml:space="preserve">BMS has several standing and ad hoc committees.  This SOP outlines the timelines and processes for populating these committees.  </w:t>
      </w:r>
    </w:p>
    <w:p w14:paraId="473D81E1" w14:textId="1DAC7818" w:rsidR="00F23FFB" w:rsidRDefault="00F23FFB" w:rsidP="002D77F4">
      <w:pPr>
        <w:autoSpaceDE w:val="0"/>
        <w:autoSpaceDN w:val="0"/>
        <w:adjustRightInd w:val="0"/>
        <w:rPr>
          <w:rFonts w:ascii="Calibri" w:hAnsi="Calibri"/>
        </w:rPr>
      </w:pPr>
    </w:p>
    <w:p w14:paraId="52D625DF" w14:textId="793984A2" w:rsidR="00FD5E2F" w:rsidRDefault="00FD5E2F" w:rsidP="002D77F4">
      <w:pPr>
        <w:autoSpaceDE w:val="0"/>
        <w:autoSpaceDN w:val="0"/>
        <w:adjustRightInd w:val="0"/>
        <w:rPr>
          <w:rFonts w:ascii="Calibri" w:hAnsi="Calibri"/>
          <w:i/>
          <w:iCs/>
          <w:u w:val="single"/>
        </w:rPr>
      </w:pPr>
      <w:r>
        <w:rPr>
          <w:rFonts w:ascii="Calibri" w:hAnsi="Calibri"/>
          <w:i/>
          <w:iCs/>
          <w:u w:val="single"/>
        </w:rPr>
        <w:t>BMS Faculty Search Committee</w:t>
      </w:r>
    </w:p>
    <w:p w14:paraId="2EA229D2" w14:textId="1E2B3794" w:rsidR="00FD5E2F" w:rsidRDefault="00FD5E2F" w:rsidP="002D77F4">
      <w:pPr>
        <w:autoSpaceDE w:val="0"/>
        <w:autoSpaceDN w:val="0"/>
        <w:adjustRightInd w:val="0"/>
        <w:rPr>
          <w:rFonts w:ascii="Calibri" w:hAnsi="Calibri"/>
          <w:i/>
          <w:iCs/>
          <w:u w:val="single"/>
        </w:rPr>
      </w:pPr>
    </w:p>
    <w:p w14:paraId="287F37A5" w14:textId="53A970ED" w:rsidR="00377810" w:rsidRDefault="00FD5E2F" w:rsidP="002D77F4">
      <w:pPr>
        <w:autoSpaceDE w:val="0"/>
        <w:autoSpaceDN w:val="0"/>
        <w:adjustRightInd w:val="0"/>
        <w:rPr>
          <w:rFonts w:ascii="Calibri" w:hAnsi="Calibri"/>
        </w:rPr>
      </w:pPr>
      <w:r>
        <w:rPr>
          <w:rFonts w:ascii="Calibri" w:hAnsi="Calibri"/>
        </w:rPr>
        <w:t xml:space="preserve">The BMS Faculty Search Committee is an ad hoc committee </w:t>
      </w:r>
      <w:r w:rsidR="006E31A7">
        <w:rPr>
          <w:rFonts w:ascii="Calibri" w:hAnsi="Calibri"/>
        </w:rPr>
        <w:t>that convenes when new full-time faculty (either tenure-track or non-tenure track) are hired to BMS.  Part-time hires and unpaid adjunct appointments are made at the Department Head’s discretion.  M</w:t>
      </w:r>
      <w:r>
        <w:rPr>
          <w:rFonts w:ascii="Calibri" w:hAnsi="Calibri"/>
        </w:rPr>
        <w:t xml:space="preserve">embers </w:t>
      </w:r>
      <w:r w:rsidR="006E31A7">
        <w:rPr>
          <w:rFonts w:ascii="Calibri" w:hAnsi="Calibri"/>
        </w:rPr>
        <w:t xml:space="preserve">of the BMS Faculty Search Committee </w:t>
      </w:r>
      <w:r>
        <w:rPr>
          <w:rFonts w:ascii="Calibri" w:hAnsi="Calibri"/>
        </w:rPr>
        <w:t xml:space="preserve">will vary depending on the expertise of faculty to be hired.  </w:t>
      </w:r>
      <w:r w:rsidR="00377810">
        <w:rPr>
          <w:rFonts w:ascii="Calibri" w:hAnsi="Calibri"/>
        </w:rPr>
        <w:t>Tenure track and non-tenure track faculty at Assistant, Associate or Full Professor levels are eligible to sit on BMS Search Committees.  Faculty from clinical departments will be sought to ensure teaching expertise appropriate to our predoctoral, dental hygiene and graduate programs.</w:t>
      </w:r>
    </w:p>
    <w:p w14:paraId="48912953" w14:textId="77777777" w:rsidR="00377810" w:rsidRDefault="00377810" w:rsidP="002D77F4">
      <w:pPr>
        <w:autoSpaceDE w:val="0"/>
        <w:autoSpaceDN w:val="0"/>
        <w:adjustRightInd w:val="0"/>
        <w:rPr>
          <w:rFonts w:ascii="Calibri" w:hAnsi="Calibri"/>
        </w:rPr>
      </w:pPr>
    </w:p>
    <w:p w14:paraId="7AFFFDE2" w14:textId="507BEB67" w:rsidR="00FD5E2F" w:rsidRPr="00FD5E2F" w:rsidRDefault="004E1391" w:rsidP="002D77F4">
      <w:pPr>
        <w:autoSpaceDE w:val="0"/>
        <w:autoSpaceDN w:val="0"/>
        <w:adjustRightInd w:val="0"/>
        <w:rPr>
          <w:rFonts w:ascii="Calibri" w:hAnsi="Calibri"/>
        </w:rPr>
      </w:pPr>
      <w:r>
        <w:rPr>
          <w:rFonts w:ascii="Calibri" w:hAnsi="Calibri"/>
        </w:rPr>
        <w:t>With input from BMS faculty and office staff, the BMS Department Head convene</w:t>
      </w:r>
      <w:r w:rsidR="00377810">
        <w:rPr>
          <w:rFonts w:ascii="Calibri" w:hAnsi="Calibri"/>
        </w:rPr>
        <w:t>s</w:t>
      </w:r>
      <w:r>
        <w:rPr>
          <w:rFonts w:ascii="Calibri" w:hAnsi="Calibri"/>
        </w:rPr>
        <w:t xml:space="preserve"> a committee of 5-7 members.  </w:t>
      </w:r>
      <w:r w:rsidR="004F2DC8">
        <w:rPr>
          <w:rFonts w:ascii="Calibri" w:hAnsi="Calibri"/>
        </w:rPr>
        <w:t>The</w:t>
      </w:r>
      <w:r>
        <w:rPr>
          <w:rFonts w:ascii="Calibri" w:hAnsi="Calibri"/>
        </w:rPr>
        <w:t xml:space="preserve"> majority of </w:t>
      </w:r>
      <w:r w:rsidR="004F2DC8">
        <w:rPr>
          <w:rFonts w:ascii="Calibri" w:hAnsi="Calibri"/>
        </w:rPr>
        <w:t>this c</w:t>
      </w:r>
      <w:r>
        <w:rPr>
          <w:rFonts w:ascii="Calibri" w:hAnsi="Calibri"/>
        </w:rPr>
        <w:t>ommittee</w:t>
      </w:r>
      <w:r w:rsidR="004F2DC8">
        <w:rPr>
          <w:rFonts w:ascii="Calibri" w:hAnsi="Calibri"/>
        </w:rPr>
        <w:t>’s</w:t>
      </w:r>
      <w:r>
        <w:rPr>
          <w:rFonts w:ascii="Calibri" w:hAnsi="Calibri"/>
        </w:rPr>
        <w:t xml:space="preserve"> members will be BMS faculty with some expertise related to the expertise of the faculty to be hired.  The BMS Department Head appoints the chair of the search committee.  </w:t>
      </w:r>
      <w:r w:rsidR="00377810">
        <w:rPr>
          <w:rFonts w:ascii="Calibri" w:hAnsi="Calibri"/>
        </w:rPr>
        <w:t>For the search and hire process, t</w:t>
      </w:r>
      <w:r>
        <w:rPr>
          <w:rFonts w:ascii="Calibri" w:hAnsi="Calibri"/>
        </w:rPr>
        <w:t xml:space="preserve">he BMS Faculty Search Committee </w:t>
      </w:r>
      <w:r w:rsidR="00377810">
        <w:rPr>
          <w:rFonts w:ascii="Calibri" w:hAnsi="Calibri"/>
        </w:rPr>
        <w:t>Chair works with the BMS Administrative staff member responsible for hiring to follow College of Dentistry Policy and Rules on faculty hiring.</w:t>
      </w:r>
    </w:p>
    <w:p w14:paraId="1AA19A2D" w14:textId="77777777" w:rsidR="00FD5E2F" w:rsidRDefault="00FD5E2F" w:rsidP="002D77F4">
      <w:pPr>
        <w:autoSpaceDE w:val="0"/>
        <w:autoSpaceDN w:val="0"/>
        <w:adjustRightInd w:val="0"/>
        <w:rPr>
          <w:rFonts w:ascii="Calibri" w:hAnsi="Calibri"/>
          <w:i/>
          <w:iCs/>
          <w:u w:val="single"/>
        </w:rPr>
      </w:pPr>
    </w:p>
    <w:p w14:paraId="7C880502" w14:textId="7C77CA87" w:rsidR="00F23FFB" w:rsidRDefault="00F23FFB" w:rsidP="002D77F4">
      <w:pPr>
        <w:autoSpaceDE w:val="0"/>
        <w:autoSpaceDN w:val="0"/>
        <w:adjustRightInd w:val="0"/>
        <w:rPr>
          <w:rFonts w:ascii="Calibri" w:hAnsi="Calibri"/>
          <w:i/>
          <w:iCs/>
          <w:u w:val="single"/>
        </w:rPr>
      </w:pPr>
      <w:r>
        <w:rPr>
          <w:rFonts w:ascii="Calibri" w:hAnsi="Calibri"/>
          <w:i/>
          <w:iCs/>
          <w:u w:val="single"/>
        </w:rPr>
        <w:t>BMS Departmental APT Committee</w:t>
      </w:r>
    </w:p>
    <w:p w14:paraId="66AA8E21" w14:textId="381B74A3" w:rsidR="00F23FFB" w:rsidRDefault="00F23FFB" w:rsidP="002D77F4">
      <w:pPr>
        <w:autoSpaceDE w:val="0"/>
        <w:autoSpaceDN w:val="0"/>
        <w:adjustRightInd w:val="0"/>
        <w:rPr>
          <w:rFonts w:ascii="Calibri" w:hAnsi="Calibri"/>
          <w:i/>
          <w:iCs/>
          <w:u w:val="single"/>
        </w:rPr>
      </w:pPr>
    </w:p>
    <w:p w14:paraId="1056533B" w14:textId="244CCD9D" w:rsidR="00F23FFB" w:rsidRPr="004E1391" w:rsidRDefault="00F23FFB" w:rsidP="002D77F4">
      <w:pPr>
        <w:autoSpaceDE w:val="0"/>
        <w:autoSpaceDN w:val="0"/>
        <w:adjustRightInd w:val="0"/>
        <w:rPr>
          <w:rFonts w:asciiTheme="minorHAnsi" w:hAnsiTheme="minorHAnsi" w:cstheme="minorHAnsi"/>
        </w:rPr>
      </w:pPr>
      <w:r>
        <w:rPr>
          <w:rFonts w:ascii="Calibri" w:hAnsi="Calibri"/>
        </w:rPr>
        <w:t xml:space="preserve">The BMS APT </w:t>
      </w:r>
      <w:r w:rsidRPr="004E1391">
        <w:rPr>
          <w:rFonts w:asciiTheme="minorHAnsi" w:hAnsiTheme="minorHAnsi" w:cstheme="minorHAnsi"/>
        </w:rPr>
        <w:t>Committee is an ad hoc committee that meets when required to review faculty for promotion and/or tenure and to review new BMS faculty appointees at Associate or Full Professor rank.</w:t>
      </w:r>
      <w:r w:rsidR="004E1391" w:rsidRPr="004E1391">
        <w:rPr>
          <w:rFonts w:asciiTheme="minorHAnsi" w:hAnsiTheme="minorHAnsi" w:cstheme="minorHAnsi"/>
        </w:rPr>
        <w:t xml:space="preserve">  Reviews are conducted according to 12.01.99.M2 University Statement on Academic Freedom, Responsibility, Tenure and Promotion.</w:t>
      </w:r>
    </w:p>
    <w:p w14:paraId="7C8EB8E8" w14:textId="0A58A614" w:rsidR="00F23FFB" w:rsidRPr="004E1391" w:rsidRDefault="00F23FFB" w:rsidP="002D77F4">
      <w:pPr>
        <w:autoSpaceDE w:val="0"/>
        <w:autoSpaceDN w:val="0"/>
        <w:adjustRightInd w:val="0"/>
        <w:rPr>
          <w:rFonts w:asciiTheme="minorHAnsi" w:hAnsiTheme="minorHAnsi" w:cstheme="minorHAnsi"/>
        </w:rPr>
      </w:pPr>
    </w:p>
    <w:p w14:paraId="05E8023E" w14:textId="45BDC345" w:rsidR="00F23FFB" w:rsidRPr="00F23FFB" w:rsidRDefault="00F23FFB" w:rsidP="002D77F4">
      <w:pPr>
        <w:autoSpaceDE w:val="0"/>
        <w:autoSpaceDN w:val="0"/>
        <w:adjustRightInd w:val="0"/>
        <w:rPr>
          <w:rFonts w:ascii="Calibri" w:hAnsi="Calibri"/>
        </w:rPr>
      </w:pPr>
      <w:r>
        <w:rPr>
          <w:rFonts w:ascii="Calibri" w:hAnsi="Calibri"/>
        </w:rPr>
        <w:lastRenderedPageBreak/>
        <w:t xml:space="preserve">The BMS Departmental APT Committee must comprise 5 members.  It comprises all tenured full professors in BMS who are not members of the College of Dentistry APT Committee.  If there are not 5 members available, tenured full professors are solicited from other departments.  If promotion from assistant to associate professor </w:t>
      </w:r>
      <w:r w:rsidR="00184130">
        <w:rPr>
          <w:rFonts w:ascii="Calibri" w:hAnsi="Calibri"/>
        </w:rPr>
        <w:t xml:space="preserve">in BMS </w:t>
      </w:r>
      <w:r>
        <w:rPr>
          <w:rFonts w:ascii="Calibri" w:hAnsi="Calibri"/>
        </w:rPr>
        <w:t xml:space="preserve">is being considered, then associate professors </w:t>
      </w:r>
      <w:r w:rsidR="00184130">
        <w:rPr>
          <w:rFonts w:ascii="Calibri" w:hAnsi="Calibri"/>
        </w:rPr>
        <w:t xml:space="preserve">in BMS </w:t>
      </w:r>
      <w:r>
        <w:rPr>
          <w:rFonts w:ascii="Calibri" w:hAnsi="Calibri"/>
        </w:rPr>
        <w:t>are also eligible to be members of this committee; they must be tenured for tenure considerations.</w:t>
      </w:r>
      <w:r w:rsidR="00184130">
        <w:rPr>
          <w:rFonts w:ascii="Calibri" w:hAnsi="Calibri"/>
        </w:rPr>
        <w:t xml:space="preserve">  The BMS Department Head appoints the chair of the Departmental APT Committee.</w:t>
      </w:r>
    </w:p>
    <w:p w14:paraId="23FF4D82" w14:textId="77777777" w:rsidR="002D77F4" w:rsidRPr="00B351A5" w:rsidRDefault="002D77F4">
      <w:pPr>
        <w:rPr>
          <w:rFonts w:ascii="Calibri" w:hAnsi="Calibri"/>
        </w:rPr>
      </w:pPr>
    </w:p>
    <w:p w14:paraId="038BC85C" w14:textId="376F050B" w:rsidR="002D77F4" w:rsidRPr="00900859" w:rsidRDefault="003F4270" w:rsidP="002D77F4">
      <w:pPr>
        <w:autoSpaceDE w:val="0"/>
        <w:autoSpaceDN w:val="0"/>
        <w:adjustRightInd w:val="0"/>
        <w:rPr>
          <w:rFonts w:ascii="Calibri" w:hAnsi="Calibri"/>
          <w:i/>
          <w:u w:val="single"/>
        </w:rPr>
      </w:pPr>
      <w:r w:rsidRPr="00900859">
        <w:rPr>
          <w:rFonts w:ascii="Calibri" w:hAnsi="Calibri"/>
          <w:i/>
          <w:u w:val="single"/>
        </w:rPr>
        <w:t>BMS Resources Committee</w:t>
      </w:r>
      <w:r w:rsidR="002D77F4" w:rsidRPr="00900859">
        <w:rPr>
          <w:rFonts w:ascii="Calibri" w:hAnsi="Calibri"/>
          <w:i/>
          <w:u w:val="single"/>
        </w:rPr>
        <w:t>.</w:t>
      </w:r>
    </w:p>
    <w:p w14:paraId="39215422" w14:textId="4EA56DB9" w:rsidR="003F4270" w:rsidRDefault="003F4270" w:rsidP="002D77F4">
      <w:pPr>
        <w:autoSpaceDE w:val="0"/>
        <w:autoSpaceDN w:val="0"/>
        <w:adjustRightInd w:val="0"/>
        <w:rPr>
          <w:rFonts w:ascii="Calibri" w:hAnsi="Calibri"/>
          <w:i/>
        </w:rPr>
      </w:pPr>
    </w:p>
    <w:p w14:paraId="3B6F3616" w14:textId="2195C0C8" w:rsidR="003F4270" w:rsidRPr="003F4270" w:rsidRDefault="003F4270" w:rsidP="002D77F4">
      <w:pPr>
        <w:autoSpaceDE w:val="0"/>
        <w:autoSpaceDN w:val="0"/>
        <w:adjustRightInd w:val="0"/>
        <w:rPr>
          <w:rFonts w:ascii="Calibri" w:hAnsi="Calibri"/>
          <w:iCs/>
        </w:rPr>
      </w:pPr>
      <w:r>
        <w:rPr>
          <w:rFonts w:ascii="Calibri" w:hAnsi="Calibri"/>
          <w:iCs/>
        </w:rPr>
        <w:t xml:space="preserve">The BMS Resources Committee is </w:t>
      </w:r>
      <w:r w:rsidR="0067092F">
        <w:rPr>
          <w:rFonts w:ascii="Calibri" w:hAnsi="Calibri"/>
          <w:iCs/>
        </w:rPr>
        <w:t xml:space="preserve">a standing committee </w:t>
      </w:r>
      <w:r>
        <w:rPr>
          <w:rFonts w:ascii="Calibri" w:hAnsi="Calibri"/>
          <w:iCs/>
        </w:rPr>
        <w:t xml:space="preserve">charged with providing advice to the Department Head regarding the purchase and maintenance of research equipment to be used as core equipment within the College </w:t>
      </w:r>
      <w:r w:rsidR="00900859">
        <w:rPr>
          <w:rFonts w:ascii="Calibri" w:hAnsi="Calibri"/>
          <w:iCs/>
        </w:rPr>
        <w:t>o</w:t>
      </w:r>
      <w:r>
        <w:rPr>
          <w:rFonts w:ascii="Calibri" w:hAnsi="Calibri"/>
          <w:iCs/>
        </w:rPr>
        <w:t>f Dentistry.  This Committee will also bring to the attention of the Department Head any issues relating to shared equipmen</w:t>
      </w:r>
      <w:r w:rsidR="00900859">
        <w:rPr>
          <w:rFonts w:ascii="Calibri" w:hAnsi="Calibri"/>
          <w:iCs/>
        </w:rPr>
        <w:t xml:space="preserve">t. </w:t>
      </w:r>
    </w:p>
    <w:p w14:paraId="3088FF6C" w14:textId="77777777" w:rsidR="003F4270" w:rsidRDefault="003F4270" w:rsidP="002D77F4">
      <w:pPr>
        <w:autoSpaceDE w:val="0"/>
        <w:autoSpaceDN w:val="0"/>
        <w:adjustRightInd w:val="0"/>
        <w:rPr>
          <w:rFonts w:ascii="Calibri" w:hAnsi="Calibri"/>
        </w:rPr>
      </w:pPr>
    </w:p>
    <w:p w14:paraId="249218FC" w14:textId="71ADF6AE" w:rsidR="002D77F4" w:rsidRPr="00B351A5" w:rsidRDefault="002D77F4" w:rsidP="002D77F4">
      <w:pPr>
        <w:autoSpaceDE w:val="0"/>
        <w:autoSpaceDN w:val="0"/>
        <w:adjustRightInd w:val="0"/>
        <w:rPr>
          <w:rFonts w:ascii="Calibri" w:hAnsi="Calibri"/>
        </w:rPr>
      </w:pPr>
      <w:r w:rsidRPr="00B351A5">
        <w:rPr>
          <w:rFonts w:ascii="Calibri" w:hAnsi="Calibri"/>
        </w:rPr>
        <w:t xml:space="preserve">The </w:t>
      </w:r>
      <w:r w:rsidR="003F4270">
        <w:rPr>
          <w:rFonts w:ascii="Calibri" w:hAnsi="Calibri"/>
        </w:rPr>
        <w:t>BMS Resources Committee</w:t>
      </w:r>
      <w:r w:rsidRPr="00B351A5">
        <w:rPr>
          <w:rFonts w:ascii="Calibri" w:hAnsi="Calibri"/>
        </w:rPr>
        <w:t xml:space="preserve"> </w:t>
      </w:r>
      <w:r w:rsidR="0067092F">
        <w:rPr>
          <w:rFonts w:ascii="Calibri" w:hAnsi="Calibri"/>
        </w:rPr>
        <w:t xml:space="preserve">consists </w:t>
      </w:r>
      <w:r w:rsidRPr="00B351A5">
        <w:rPr>
          <w:rFonts w:ascii="Calibri" w:hAnsi="Calibri"/>
        </w:rPr>
        <w:t xml:space="preserve">of </w:t>
      </w:r>
      <w:r w:rsidRPr="00B351A5">
        <w:rPr>
          <w:rFonts w:ascii="Calibri" w:hAnsi="Calibri" w:cs="Arial"/>
          <w:szCs w:val="24"/>
        </w:rPr>
        <w:t xml:space="preserve">individuals with demonstrated expertise in </w:t>
      </w:r>
      <w:r w:rsidR="003F4270">
        <w:rPr>
          <w:rFonts w:ascii="Calibri" w:hAnsi="Calibri" w:cs="Arial"/>
          <w:szCs w:val="24"/>
        </w:rPr>
        <w:t>ordering and maintaining general lab equipment</w:t>
      </w:r>
      <w:r w:rsidRPr="00B351A5">
        <w:rPr>
          <w:rFonts w:ascii="Calibri" w:hAnsi="Calibri" w:cs="Arial"/>
          <w:szCs w:val="24"/>
        </w:rPr>
        <w:t xml:space="preserve">, or have expertise required for fulfilling the functions of the </w:t>
      </w:r>
      <w:r w:rsidR="003F4270">
        <w:rPr>
          <w:rFonts w:ascii="Calibri" w:hAnsi="Calibri" w:cs="Arial"/>
          <w:szCs w:val="24"/>
        </w:rPr>
        <w:t>Resources Committee</w:t>
      </w:r>
      <w:r w:rsidRPr="00B351A5">
        <w:rPr>
          <w:rFonts w:ascii="Calibri" w:hAnsi="Calibri" w:cs="Arial"/>
          <w:szCs w:val="24"/>
        </w:rPr>
        <w:t xml:space="preserve">.  The </w:t>
      </w:r>
      <w:r w:rsidR="003F4270">
        <w:rPr>
          <w:rFonts w:ascii="Calibri" w:hAnsi="Calibri" w:cs="Arial"/>
          <w:szCs w:val="24"/>
        </w:rPr>
        <w:t>Resources Committee</w:t>
      </w:r>
      <w:r w:rsidRPr="00B351A5">
        <w:rPr>
          <w:rFonts w:ascii="Calibri" w:hAnsi="Calibri" w:cs="Arial"/>
          <w:szCs w:val="24"/>
        </w:rPr>
        <w:t xml:space="preserve"> consist</w:t>
      </w:r>
      <w:r w:rsidR="003F4270">
        <w:rPr>
          <w:rFonts w:ascii="Calibri" w:hAnsi="Calibri" w:cs="Arial"/>
          <w:szCs w:val="24"/>
        </w:rPr>
        <w:t>s</w:t>
      </w:r>
      <w:r w:rsidRPr="00B351A5">
        <w:rPr>
          <w:rFonts w:ascii="Calibri" w:hAnsi="Calibri" w:cs="Arial"/>
          <w:szCs w:val="24"/>
        </w:rPr>
        <w:t xml:space="preserve"> of </w:t>
      </w:r>
      <w:r w:rsidR="003F4270">
        <w:rPr>
          <w:rFonts w:ascii="Calibri" w:hAnsi="Calibri" w:cs="Arial"/>
          <w:szCs w:val="24"/>
        </w:rPr>
        <w:t>four faculty members chosen from the ranks of all research faculty regardless of department affiliation</w:t>
      </w:r>
      <w:r w:rsidRPr="00B351A5">
        <w:rPr>
          <w:rFonts w:ascii="Calibri" w:hAnsi="Calibri"/>
        </w:rPr>
        <w:t xml:space="preserve">. </w:t>
      </w:r>
      <w:r w:rsidR="003F4270">
        <w:rPr>
          <w:rFonts w:ascii="Calibri" w:hAnsi="Calibri"/>
        </w:rPr>
        <w:t xml:space="preserve"> The BMS Department Head appoints the Chair of the Resources Committee. </w:t>
      </w:r>
      <w:r w:rsidR="003F4270" w:rsidRPr="00B351A5">
        <w:rPr>
          <w:rFonts w:ascii="Calibri" w:hAnsi="Calibri"/>
        </w:rPr>
        <w:t>There are no term limits for membership.</w:t>
      </w:r>
    </w:p>
    <w:p w14:paraId="13D551CB" w14:textId="77777777" w:rsidR="002D77F4" w:rsidRPr="00B351A5" w:rsidRDefault="002D77F4" w:rsidP="002D77F4">
      <w:pPr>
        <w:autoSpaceDE w:val="0"/>
        <w:autoSpaceDN w:val="0"/>
        <w:adjustRightInd w:val="0"/>
        <w:rPr>
          <w:rFonts w:ascii="Calibri" w:hAnsi="Calibri"/>
        </w:rPr>
      </w:pPr>
    </w:p>
    <w:p w14:paraId="4A5734E0" w14:textId="42043B98" w:rsidR="002D77F4" w:rsidRPr="00900859" w:rsidRDefault="002D77F4" w:rsidP="002D77F4">
      <w:pPr>
        <w:autoSpaceDE w:val="0"/>
        <w:autoSpaceDN w:val="0"/>
        <w:adjustRightInd w:val="0"/>
        <w:rPr>
          <w:rFonts w:asciiTheme="minorHAnsi" w:hAnsiTheme="minorHAnsi" w:cstheme="minorHAnsi"/>
          <w:szCs w:val="24"/>
        </w:rPr>
      </w:pPr>
      <w:r w:rsidRPr="00900859">
        <w:rPr>
          <w:rFonts w:asciiTheme="minorHAnsi" w:hAnsiTheme="minorHAnsi" w:cstheme="minorHAnsi"/>
          <w:szCs w:val="24"/>
        </w:rPr>
        <w:t xml:space="preserve">Replacement committee members </w:t>
      </w:r>
      <w:r w:rsidR="003F4270" w:rsidRPr="00900859">
        <w:rPr>
          <w:rFonts w:asciiTheme="minorHAnsi" w:hAnsiTheme="minorHAnsi" w:cstheme="minorHAnsi"/>
          <w:szCs w:val="24"/>
        </w:rPr>
        <w:t>are</w:t>
      </w:r>
      <w:r w:rsidRPr="00900859">
        <w:rPr>
          <w:rFonts w:asciiTheme="minorHAnsi" w:hAnsiTheme="minorHAnsi" w:cstheme="minorHAnsi"/>
          <w:szCs w:val="24"/>
        </w:rPr>
        <w:t xml:space="preserve"> recommended </w:t>
      </w:r>
      <w:r w:rsidR="003F4270" w:rsidRPr="00900859">
        <w:rPr>
          <w:rFonts w:asciiTheme="minorHAnsi" w:hAnsiTheme="minorHAnsi" w:cstheme="minorHAnsi"/>
          <w:szCs w:val="24"/>
        </w:rPr>
        <w:t>by the Resources Committee members</w:t>
      </w:r>
      <w:r w:rsidRPr="00900859">
        <w:rPr>
          <w:rFonts w:asciiTheme="minorHAnsi" w:hAnsiTheme="minorHAnsi" w:cstheme="minorHAnsi"/>
          <w:szCs w:val="24"/>
        </w:rPr>
        <w:t xml:space="preserve"> as needed.</w:t>
      </w:r>
    </w:p>
    <w:p w14:paraId="0E9457AF" w14:textId="77777777" w:rsidR="002D77F4" w:rsidRPr="00900859" w:rsidRDefault="002D77F4" w:rsidP="002D77F4">
      <w:pPr>
        <w:autoSpaceDE w:val="0"/>
        <w:autoSpaceDN w:val="0"/>
        <w:adjustRightInd w:val="0"/>
        <w:rPr>
          <w:rFonts w:asciiTheme="minorHAnsi" w:hAnsiTheme="minorHAnsi" w:cstheme="minorHAnsi"/>
          <w:szCs w:val="24"/>
        </w:rPr>
      </w:pPr>
    </w:p>
    <w:p w14:paraId="617A15A8" w14:textId="7194D380" w:rsidR="00900859" w:rsidRPr="00900859" w:rsidRDefault="00900859" w:rsidP="00900859">
      <w:pPr>
        <w:rPr>
          <w:rFonts w:asciiTheme="minorHAnsi" w:hAnsiTheme="minorHAnsi" w:cstheme="minorHAnsi"/>
          <w:i/>
          <w:iCs/>
          <w:szCs w:val="24"/>
          <w:u w:val="single"/>
        </w:rPr>
      </w:pPr>
      <w:r>
        <w:rPr>
          <w:rFonts w:asciiTheme="minorHAnsi" w:hAnsiTheme="minorHAnsi" w:cstheme="minorHAnsi"/>
          <w:i/>
          <w:iCs/>
          <w:szCs w:val="24"/>
          <w:u w:val="single"/>
        </w:rPr>
        <w:t xml:space="preserve">BMS </w:t>
      </w:r>
      <w:r w:rsidRPr="00900859">
        <w:rPr>
          <w:rFonts w:asciiTheme="minorHAnsi" w:hAnsiTheme="minorHAnsi" w:cstheme="minorHAnsi"/>
          <w:i/>
          <w:iCs/>
          <w:szCs w:val="24"/>
          <w:u w:val="single"/>
        </w:rPr>
        <w:t xml:space="preserve">Anatomical Laboratory Management </w:t>
      </w:r>
      <w:r>
        <w:rPr>
          <w:rFonts w:asciiTheme="minorHAnsi" w:hAnsiTheme="minorHAnsi" w:cstheme="minorHAnsi"/>
          <w:i/>
          <w:iCs/>
          <w:szCs w:val="24"/>
          <w:u w:val="single"/>
        </w:rPr>
        <w:t xml:space="preserve">(ALM) </w:t>
      </w:r>
      <w:r w:rsidRPr="00900859">
        <w:rPr>
          <w:rFonts w:asciiTheme="minorHAnsi" w:hAnsiTheme="minorHAnsi" w:cstheme="minorHAnsi"/>
          <w:i/>
          <w:iCs/>
          <w:szCs w:val="24"/>
          <w:u w:val="single"/>
        </w:rPr>
        <w:t>Committee</w:t>
      </w:r>
    </w:p>
    <w:p w14:paraId="6F078275" w14:textId="77777777" w:rsidR="00900859" w:rsidRPr="00900859" w:rsidRDefault="00900859" w:rsidP="002D77F4">
      <w:pPr>
        <w:autoSpaceDE w:val="0"/>
        <w:autoSpaceDN w:val="0"/>
        <w:adjustRightInd w:val="0"/>
        <w:rPr>
          <w:rFonts w:asciiTheme="minorHAnsi" w:hAnsiTheme="minorHAnsi" w:cstheme="minorHAnsi"/>
          <w:szCs w:val="24"/>
        </w:rPr>
      </w:pPr>
    </w:p>
    <w:p w14:paraId="54342C48" w14:textId="33280F16" w:rsidR="00900859" w:rsidRPr="00900859" w:rsidRDefault="0067092F" w:rsidP="00900859">
      <w:pPr>
        <w:rPr>
          <w:rFonts w:asciiTheme="minorHAnsi" w:hAnsiTheme="minorHAnsi" w:cstheme="minorHAnsi"/>
          <w:szCs w:val="24"/>
        </w:rPr>
      </w:pPr>
      <w:r>
        <w:rPr>
          <w:rFonts w:asciiTheme="minorHAnsi" w:hAnsiTheme="minorHAnsi" w:cstheme="minorHAnsi"/>
          <w:szCs w:val="24"/>
        </w:rPr>
        <w:t xml:space="preserve">The ALM committee is a standing committee. </w:t>
      </w:r>
      <w:r w:rsidR="00900859" w:rsidRPr="00900859">
        <w:rPr>
          <w:rFonts w:asciiTheme="minorHAnsi" w:hAnsiTheme="minorHAnsi" w:cstheme="minorHAnsi"/>
          <w:szCs w:val="24"/>
        </w:rPr>
        <w:t xml:space="preserve">The mission of the ALM Committee is to ensure that the Gross Anatomy Laboratory is following all NIH, State including State Anatomical Board, University, and College rules for proper use of anatomical materials and lab space and facilities for teaching and research. </w:t>
      </w:r>
    </w:p>
    <w:p w14:paraId="0FF31C91" w14:textId="77777777" w:rsidR="00900859" w:rsidRPr="00900859" w:rsidRDefault="00900859" w:rsidP="00900859">
      <w:pPr>
        <w:rPr>
          <w:rFonts w:asciiTheme="minorHAnsi" w:hAnsiTheme="minorHAnsi" w:cstheme="minorHAnsi"/>
          <w:szCs w:val="24"/>
        </w:rPr>
      </w:pPr>
    </w:p>
    <w:p w14:paraId="3FF4F5A1" w14:textId="267C25E9" w:rsidR="00900859" w:rsidRPr="00900859" w:rsidRDefault="00900859" w:rsidP="00900859">
      <w:pPr>
        <w:rPr>
          <w:rFonts w:asciiTheme="minorHAnsi" w:hAnsiTheme="minorHAnsi" w:cstheme="minorHAnsi"/>
          <w:szCs w:val="24"/>
        </w:rPr>
      </w:pPr>
      <w:r w:rsidRPr="00900859">
        <w:rPr>
          <w:rFonts w:asciiTheme="minorHAnsi" w:hAnsiTheme="minorHAnsi" w:cstheme="minorHAnsi"/>
          <w:szCs w:val="24"/>
        </w:rPr>
        <w:t xml:space="preserve">The charges and duties of the ALM Committee </w:t>
      </w:r>
      <w:r w:rsidR="0067092F">
        <w:rPr>
          <w:rFonts w:asciiTheme="minorHAnsi" w:hAnsiTheme="minorHAnsi" w:cstheme="minorHAnsi"/>
          <w:szCs w:val="24"/>
        </w:rPr>
        <w:t>are</w:t>
      </w:r>
      <w:r w:rsidRPr="00900859">
        <w:rPr>
          <w:rFonts w:asciiTheme="minorHAnsi" w:hAnsiTheme="minorHAnsi" w:cstheme="minorHAnsi"/>
          <w:szCs w:val="24"/>
        </w:rPr>
        <w:t xml:space="preserve"> to:</w:t>
      </w:r>
    </w:p>
    <w:p w14:paraId="337FFFC0" w14:textId="19AAB6A8" w:rsidR="00900859" w:rsidRPr="00900859" w:rsidRDefault="00900859" w:rsidP="00900859">
      <w:pPr>
        <w:pStyle w:val="ListParagraph"/>
        <w:numPr>
          <w:ilvl w:val="0"/>
          <w:numId w:val="11"/>
        </w:numPr>
        <w:rPr>
          <w:rFonts w:cstheme="minorHAnsi"/>
          <w:sz w:val="24"/>
          <w:szCs w:val="24"/>
        </w:rPr>
      </w:pPr>
      <w:r w:rsidRPr="00900859">
        <w:rPr>
          <w:rFonts w:cstheme="minorHAnsi"/>
          <w:sz w:val="24"/>
          <w:szCs w:val="24"/>
        </w:rPr>
        <w:t>review and approve requests for the use of anatomical specimens for teaching and research beyond D1 teaching.</w:t>
      </w:r>
    </w:p>
    <w:p w14:paraId="50832F8E" w14:textId="51262304" w:rsidR="00900859" w:rsidRPr="00900859" w:rsidRDefault="00900859" w:rsidP="00900859">
      <w:pPr>
        <w:pStyle w:val="ListParagraph"/>
        <w:numPr>
          <w:ilvl w:val="0"/>
          <w:numId w:val="11"/>
        </w:numPr>
        <w:rPr>
          <w:rFonts w:cstheme="minorHAnsi"/>
          <w:sz w:val="24"/>
          <w:szCs w:val="24"/>
        </w:rPr>
      </w:pPr>
      <w:r w:rsidRPr="00900859">
        <w:rPr>
          <w:rFonts w:cstheme="minorHAnsi"/>
          <w:sz w:val="24"/>
          <w:szCs w:val="24"/>
        </w:rPr>
        <w:t>review and approve the use of Gross Lab space and facilities for teaching and research beyond D1 teaching.</w:t>
      </w:r>
    </w:p>
    <w:p w14:paraId="53C44D60" w14:textId="42D85C09" w:rsidR="00900859" w:rsidRPr="00900859" w:rsidRDefault="00900859" w:rsidP="00900859">
      <w:pPr>
        <w:pStyle w:val="ListParagraph"/>
        <w:numPr>
          <w:ilvl w:val="0"/>
          <w:numId w:val="11"/>
        </w:numPr>
        <w:rPr>
          <w:rFonts w:cstheme="minorHAnsi"/>
          <w:sz w:val="24"/>
          <w:szCs w:val="24"/>
        </w:rPr>
      </w:pPr>
      <w:r w:rsidRPr="00900859">
        <w:rPr>
          <w:rFonts w:cstheme="minorHAnsi"/>
          <w:sz w:val="24"/>
          <w:szCs w:val="24"/>
        </w:rPr>
        <w:t>make suggestions and recommendations regarding updates and improvements to the Gross lab and morgue to keep it up to date for such facilities, changes in class size or other accommodations.</w:t>
      </w:r>
    </w:p>
    <w:p w14:paraId="264ED60D" w14:textId="7514B0D7" w:rsidR="00900859" w:rsidRPr="00900859" w:rsidRDefault="00900859" w:rsidP="00900859">
      <w:pPr>
        <w:autoSpaceDE w:val="0"/>
        <w:autoSpaceDN w:val="0"/>
        <w:adjustRightInd w:val="0"/>
        <w:rPr>
          <w:rFonts w:asciiTheme="minorHAnsi" w:hAnsiTheme="minorHAnsi" w:cstheme="minorHAnsi"/>
        </w:rPr>
      </w:pPr>
      <w:r w:rsidRPr="00900859">
        <w:rPr>
          <w:rFonts w:asciiTheme="minorHAnsi" w:hAnsiTheme="minorHAnsi" w:cstheme="minorHAnsi"/>
          <w:szCs w:val="24"/>
        </w:rPr>
        <w:t>The ALM Committee consist</w:t>
      </w:r>
      <w:r w:rsidR="0067092F">
        <w:rPr>
          <w:rFonts w:asciiTheme="minorHAnsi" w:hAnsiTheme="minorHAnsi" w:cstheme="minorHAnsi"/>
          <w:szCs w:val="24"/>
        </w:rPr>
        <w:t>s</w:t>
      </w:r>
      <w:r w:rsidRPr="00900859">
        <w:rPr>
          <w:rFonts w:asciiTheme="minorHAnsi" w:hAnsiTheme="minorHAnsi" w:cstheme="minorHAnsi"/>
          <w:szCs w:val="24"/>
        </w:rPr>
        <w:t xml:space="preserve"> of all Gross Anatomy teaching faculty members and the Gross Lab manager.    Ex officio representatives from Department and College administrative levels will be added as necessary.  All fulltime members of the ALM Committee are voting members of the Committee.  The Board Member of the Anatomical Board of the State of Texas serve</w:t>
      </w:r>
      <w:r w:rsidR="0067092F">
        <w:rPr>
          <w:rFonts w:asciiTheme="minorHAnsi" w:hAnsiTheme="minorHAnsi" w:cstheme="minorHAnsi"/>
          <w:szCs w:val="24"/>
        </w:rPr>
        <w:t>s</w:t>
      </w:r>
      <w:r w:rsidRPr="00900859">
        <w:rPr>
          <w:rFonts w:asciiTheme="minorHAnsi" w:hAnsiTheme="minorHAnsi" w:cstheme="minorHAnsi"/>
          <w:szCs w:val="24"/>
        </w:rPr>
        <w:t xml:space="preserve"> as chairperson of the ALM.  </w:t>
      </w:r>
      <w:r w:rsidRPr="00900859">
        <w:rPr>
          <w:rFonts w:asciiTheme="minorHAnsi" w:hAnsiTheme="minorHAnsi" w:cstheme="minorHAnsi"/>
        </w:rPr>
        <w:t>There are no term limits for membership.</w:t>
      </w:r>
    </w:p>
    <w:p w14:paraId="5E3E3811" w14:textId="13F9D552" w:rsidR="00900859" w:rsidRPr="00900859" w:rsidRDefault="00900859" w:rsidP="00900859">
      <w:pPr>
        <w:rPr>
          <w:rFonts w:asciiTheme="minorHAnsi" w:hAnsiTheme="minorHAnsi" w:cstheme="minorHAnsi"/>
          <w:szCs w:val="24"/>
        </w:rPr>
      </w:pPr>
    </w:p>
    <w:p w14:paraId="6A39A8F7" w14:textId="2DE80045" w:rsidR="002D77F4" w:rsidRPr="00900859" w:rsidRDefault="002D77F4" w:rsidP="002D77F4">
      <w:pPr>
        <w:autoSpaceDE w:val="0"/>
        <w:autoSpaceDN w:val="0"/>
        <w:adjustRightInd w:val="0"/>
        <w:rPr>
          <w:rFonts w:asciiTheme="minorHAnsi" w:hAnsiTheme="minorHAnsi" w:cstheme="minorHAnsi"/>
          <w:szCs w:val="24"/>
        </w:rPr>
      </w:pPr>
      <w:r w:rsidRPr="00900859">
        <w:rPr>
          <w:rFonts w:asciiTheme="minorHAnsi" w:hAnsiTheme="minorHAnsi" w:cstheme="minorHAnsi"/>
          <w:szCs w:val="24"/>
        </w:rPr>
        <w:t>The Chair of the committee</w:t>
      </w:r>
      <w:r w:rsidR="00900859">
        <w:rPr>
          <w:rFonts w:asciiTheme="minorHAnsi" w:hAnsiTheme="minorHAnsi" w:cstheme="minorHAnsi"/>
          <w:szCs w:val="24"/>
        </w:rPr>
        <w:t xml:space="preserve"> makes </w:t>
      </w:r>
      <w:r w:rsidRPr="00900859">
        <w:rPr>
          <w:rFonts w:asciiTheme="minorHAnsi" w:hAnsiTheme="minorHAnsi" w:cstheme="minorHAnsi"/>
          <w:szCs w:val="24"/>
        </w:rPr>
        <w:t xml:space="preserve">recommendations on the replacement </w:t>
      </w:r>
      <w:r w:rsidR="00900859">
        <w:rPr>
          <w:rFonts w:asciiTheme="minorHAnsi" w:hAnsiTheme="minorHAnsi" w:cstheme="minorHAnsi"/>
          <w:szCs w:val="24"/>
        </w:rPr>
        <w:t>of members to the Department Head</w:t>
      </w:r>
      <w:r w:rsidRPr="00900859">
        <w:rPr>
          <w:rFonts w:asciiTheme="minorHAnsi" w:hAnsiTheme="minorHAnsi" w:cstheme="minorHAnsi"/>
          <w:szCs w:val="24"/>
        </w:rPr>
        <w:t>.</w:t>
      </w:r>
      <w:r w:rsidR="00900859">
        <w:rPr>
          <w:rFonts w:asciiTheme="minorHAnsi" w:hAnsiTheme="minorHAnsi" w:cstheme="minorHAnsi"/>
          <w:szCs w:val="24"/>
        </w:rPr>
        <w:t xml:space="preserve">  </w:t>
      </w:r>
    </w:p>
    <w:p w14:paraId="4113F30F" w14:textId="77777777" w:rsidR="006B061B" w:rsidRPr="00900859" w:rsidRDefault="006B061B" w:rsidP="002D77F4">
      <w:pPr>
        <w:autoSpaceDE w:val="0"/>
        <w:autoSpaceDN w:val="0"/>
        <w:adjustRightInd w:val="0"/>
        <w:rPr>
          <w:rFonts w:asciiTheme="minorHAnsi" w:hAnsiTheme="minorHAnsi" w:cstheme="minorHAnsi"/>
          <w:szCs w:val="24"/>
        </w:rPr>
      </w:pPr>
    </w:p>
    <w:p w14:paraId="6C8D1217" w14:textId="69FE681D" w:rsidR="007F7A72" w:rsidRDefault="002D77F4" w:rsidP="003F4270">
      <w:pPr>
        <w:autoSpaceDE w:val="0"/>
        <w:autoSpaceDN w:val="0"/>
        <w:adjustRightInd w:val="0"/>
        <w:rPr>
          <w:rFonts w:asciiTheme="minorHAnsi" w:hAnsiTheme="minorHAnsi" w:cstheme="minorHAnsi"/>
          <w:b/>
          <w:szCs w:val="24"/>
        </w:rPr>
      </w:pPr>
      <w:r w:rsidRPr="00900859">
        <w:rPr>
          <w:rFonts w:asciiTheme="minorHAnsi" w:hAnsiTheme="minorHAnsi" w:cstheme="minorHAnsi"/>
          <w:b/>
          <w:szCs w:val="24"/>
        </w:rPr>
        <w:t xml:space="preserve">Article 3 – </w:t>
      </w:r>
      <w:r w:rsidR="007F7A72">
        <w:rPr>
          <w:rFonts w:asciiTheme="minorHAnsi" w:hAnsiTheme="minorHAnsi" w:cstheme="minorHAnsi"/>
          <w:b/>
          <w:szCs w:val="24"/>
        </w:rPr>
        <w:t>Non-Committee Roles in BMS</w:t>
      </w:r>
    </w:p>
    <w:p w14:paraId="5FED2096" w14:textId="27080498" w:rsidR="007F7A72" w:rsidRDefault="007F7A72" w:rsidP="003F4270">
      <w:pPr>
        <w:autoSpaceDE w:val="0"/>
        <w:autoSpaceDN w:val="0"/>
        <w:adjustRightInd w:val="0"/>
        <w:rPr>
          <w:rFonts w:asciiTheme="minorHAnsi" w:hAnsiTheme="minorHAnsi" w:cstheme="minorHAnsi"/>
          <w:b/>
          <w:szCs w:val="24"/>
        </w:rPr>
      </w:pPr>
    </w:p>
    <w:p w14:paraId="223B68B9" w14:textId="4ACCDDDC" w:rsidR="00CC0E9B" w:rsidRDefault="00CC0E9B" w:rsidP="003F4270">
      <w:pPr>
        <w:autoSpaceDE w:val="0"/>
        <w:autoSpaceDN w:val="0"/>
        <w:adjustRightInd w:val="0"/>
        <w:rPr>
          <w:rFonts w:asciiTheme="minorHAnsi" w:hAnsiTheme="minorHAnsi" w:cstheme="minorHAnsi"/>
          <w:bCs/>
          <w:i/>
          <w:iCs/>
          <w:szCs w:val="24"/>
          <w:u w:val="single"/>
        </w:rPr>
      </w:pPr>
      <w:r>
        <w:rPr>
          <w:rFonts w:asciiTheme="minorHAnsi" w:hAnsiTheme="minorHAnsi" w:cstheme="minorHAnsi"/>
          <w:bCs/>
          <w:i/>
          <w:iCs/>
          <w:szCs w:val="24"/>
          <w:u w:val="single"/>
        </w:rPr>
        <w:t>Director of the BMS Graduate Program</w:t>
      </w:r>
    </w:p>
    <w:p w14:paraId="30680E40" w14:textId="22F7721C" w:rsidR="00CC0E9B" w:rsidRDefault="00CC0E9B" w:rsidP="003F4270">
      <w:pPr>
        <w:autoSpaceDE w:val="0"/>
        <w:autoSpaceDN w:val="0"/>
        <w:adjustRightInd w:val="0"/>
        <w:rPr>
          <w:rFonts w:asciiTheme="minorHAnsi" w:hAnsiTheme="minorHAnsi" w:cstheme="minorHAnsi"/>
          <w:bCs/>
          <w:i/>
          <w:iCs/>
          <w:szCs w:val="24"/>
          <w:u w:val="single"/>
        </w:rPr>
      </w:pPr>
    </w:p>
    <w:p w14:paraId="09E1733E" w14:textId="4379525B" w:rsidR="00CC0E9B" w:rsidRPr="00CC0E9B" w:rsidRDefault="00CC0E9B" w:rsidP="003F4270">
      <w:pPr>
        <w:autoSpaceDE w:val="0"/>
        <w:autoSpaceDN w:val="0"/>
        <w:adjustRightInd w:val="0"/>
        <w:rPr>
          <w:rFonts w:asciiTheme="minorHAnsi" w:hAnsiTheme="minorHAnsi" w:cstheme="minorHAnsi"/>
          <w:bCs/>
          <w:szCs w:val="24"/>
        </w:rPr>
      </w:pPr>
      <w:r>
        <w:rPr>
          <w:rFonts w:asciiTheme="minorHAnsi" w:hAnsiTheme="minorHAnsi" w:cstheme="minorHAnsi"/>
          <w:bCs/>
          <w:szCs w:val="24"/>
        </w:rPr>
        <w:t xml:space="preserve">Chair of the OBIO Graduate Committee under the auspices of the Assistant Dean for Graduate </w:t>
      </w:r>
      <w:r w:rsidR="007229B9">
        <w:rPr>
          <w:rFonts w:asciiTheme="minorHAnsi" w:hAnsiTheme="minorHAnsi" w:cstheme="minorHAnsi"/>
          <w:bCs/>
          <w:szCs w:val="24"/>
        </w:rPr>
        <w:t>Studies</w:t>
      </w:r>
      <w:r>
        <w:rPr>
          <w:rFonts w:asciiTheme="minorHAnsi" w:hAnsiTheme="minorHAnsi" w:cstheme="minorHAnsi"/>
          <w:bCs/>
          <w:szCs w:val="24"/>
        </w:rPr>
        <w:t xml:space="preserve">.  </w:t>
      </w:r>
      <w:r w:rsidR="005D0460">
        <w:rPr>
          <w:rFonts w:asciiTheme="minorHAnsi" w:hAnsiTheme="minorHAnsi" w:cstheme="minorHAnsi"/>
          <w:bCs/>
          <w:szCs w:val="24"/>
        </w:rPr>
        <w:t xml:space="preserve">Recommendations </w:t>
      </w:r>
      <w:r w:rsidR="007229B9">
        <w:rPr>
          <w:rFonts w:asciiTheme="minorHAnsi" w:hAnsiTheme="minorHAnsi" w:cstheme="minorHAnsi"/>
          <w:bCs/>
          <w:szCs w:val="24"/>
        </w:rPr>
        <w:t xml:space="preserve">for this position </w:t>
      </w:r>
      <w:r w:rsidR="005D0460">
        <w:rPr>
          <w:rFonts w:asciiTheme="minorHAnsi" w:hAnsiTheme="minorHAnsi" w:cstheme="minorHAnsi"/>
          <w:bCs/>
          <w:szCs w:val="24"/>
        </w:rPr>
        <w:t>are made to the Dean</w:t>
      </w:r>
      <w:r>
        <w:rPr>
          <w:rFonts w:asciiTheme="minorHAnsi" w:hAnsiTheme="minorHAnsi" w:cstheme="minorHAnsi"/>
          <w:bCs/>
          <w:szCs w:val="24"/>
        </w:rPr>
        <w:t xml:space="preserve"> by the Assistant Dean for Graduate </w:t>
      </w:r>
      <w:r w:rsidR="007229B9">
        <w:rPr>
          <w:rFonts w:asciiTheme="minorHAnsi" w:hAnsiTheme="minorHAnsi" w:cstheme="minorHAnsi"/>
          <w:bCs/>
          <w:szCs w:val="24"/>
        </w:rPr>
        <w:t>Studies</w:t>
      </w:r>
      <w:r w:rsidR="005D0460">
        <w:rPr>
          <w:rFonts w:asciiTheme="minorHAnsi" w:hAnsiTheme="minorHAnsi" w:cstheme="minorHAnsi"/>
          <w:bCs/>
          <w:szCs w:val="24"/>
        </w:rPr>
        <w:t xml:space="preserve"> after consultation with the BMS Department Head</w:t>
      </w:r>
      <w:r>
        <w:rPr>
          <w:rFonts w:asciiTheme="minorHAnsi" w:hAnsiTheme="minorHAnsi" w:cstheme="minorHAnsi"/>
          <w:bCs/>
          <w:szCs w:val="24"/>
        </w:rPr>
        <w:t>.</w:t>
      </w:r>
    </w:p>
    <w:p w14:paraId="4E30E4E6" w14:textId="77777777" w:rsidR="00CC0E9B" w:rsidRDefault="00CC0E9B" w:rsidP="003F4270">
      <w:pPr>
        <w:autoSpaceDE w:val="0"/>
        <w:autoSpaceDN w:val="0"/>
        <w:adjustRightInd w:val="0"/>
        <w:rPr>
          <w:rFonts w:asciiTheme="minorHAnsi" w:hAnsiTheme="minorHAnsi" w:cstheme="minorHAnsi"/>
          <w:bCs/>
          <w:i/>
          <w:iCs/>
          <w:szCs w:val="24"/>
          <w:u w:val="single"/>
        </w:rPr>
      </w:pPr>
    </w:p>
    <w:p w14:paraId="65FCB8A7" w14:textId="1ED53E57" w:rsidR="006554DB" w:rsidRPr="00AA7ACA" w:rsidRDefault="006554DB" w:rsidP="003F4270">
      <w:pPr>
        <w:autoSpaceDE w:val="0"/>
        <w:autoSpaceDN w:val="0"/>
        <w:adjustRightInd w:val="0"/>
        <w:rPr>
          <w:rFonts w:asciiTheme="minorHAnsi" w:hAnsiTheme="minorHAnsi" w:cstheme="minorHAnsi"/>
          <w:bCs/>
          <w:i/>
          <w:iCs/>
          <w:szCs w:val="24"/>
          <w:u w:val="single"/>
        </w:rPr>
      </w:pPr>
      <w:r w:rsidRPr="00AA7ACA">
        <w:rPr>
          <w:rFonts w:asciiTheme="minorHAnsi" w:hAnsiTheme="minorHAnsi" w:cstheme="minorHAnsi"/>
          <w:bCs/>
          <w:i/>
          <w:iCs/>
          <w:szCs w:val="24"/>
          <w:u w:val="single"/>
        </w:rPr>
        <w:t>Associate Department Heads</w:t>
      </w:r>
    </w:p>
    <w:p w14:paraId="75C55390" w14:textId="2E23B1DA" w:rsidR="006554DB" w:rsidRPr="00AA7ACA" w:rsidRDefault="006554DB" w:rsidP="003F4270">
      <w:pPr>
        <w:autoSpaceDE w:val="0"/>
        <w:autoSpaceDN w:val="0"/>
        <w:adjustRightInd w:val="0"/>
        <w:rPr>
          <w:rFonts w:asciiTheme="minorHAnsi" w:hAnsiTheme="minorHAnsi" w:cstheme="minorHAnsi"/>
          <w:bCs/>
          <w:i/>
          <w:iCs/>
          <w:szCs w:val="24"/>
          <w:u w:val="single"/>
        </w:rPr>
      </w:pPr>
    </w:p>
    <w:p w14:paraId="2A6AB976" w14:textId="0B5CB45F" w:rsidR="006554DB" w:rsidRPr="00AA7ACA" w:rsidRDefault="006554DB" w:rsidP="003F4270">
      <w:pPr>
        <w:autoSpaceDE w:val="0"/>
        <w:autoSpaceDN w:val="0"/>
        <w:adjustRightInd w:val="0"/>
        <w:rPr>
          <w:rFonts w:asciiTheme="minorHAnsi" w:hAnsiTheme="minorHAnsi" w:cstheme="minorHAnsi"/>
          <w:bCs/>
          <w:szCs w:val="24"/>
        </w:rPr>
      </w:pPr>
      <w:r w:rsidRPr="00AA7ACA">
        <w:rPr>
          <w:rFonts w:asciiTheme="minorHAnsi" w:hAnsiTheme="minorHAnsi" w:cstheme="minorHAnsi"/>
          <w:bCs/>
          <w:szCs w:val="24"/>
        </w:rPr>
        <w:t>The department of Biomedical Sciences has 2 approved Associate Department Heads, one for Research and one for Teaching.  The BMS Department Head appoints both Associate Department Heads.</w:t>
      </w:r>
    </w:p>
    <w:p w14:paraId="06D45FFD" w14:textId="77777777" w:rsidR="006554DB" w:rsidRPr="00AA7ACA" w:rsidRDefault="006554DB" w:rsidP="003F4270">
      <w:pPr>
        <w:autoSpaceDE w:val="0"/>
        <w:autoSpaceDN w:val="0"/>
        <w:adjustRightInd w:val="0"/>
        <w:rPr>
          <w:rFonts w:asciiTheme="minorHAnsi" w:hAnsiTheme="minorHAnsi" w:cstheme="minorHAnsi"/>
          <w:bCs/>
          <w:i/>
          <w:iCs/>
          <w:szCs w:val="24"/>
          <w:u w:val="single"/>
        </w:rPr>
      </w:pPr>
    </w:p>
    <w:p w14:paraId="79A4F67C" w14:textId="2B44BB5B" w:rsidR="007F7A72" w:rsidRPr="00AA7ACA" w:rsidRDefault="007F7A72" w:rsidP="003F4270">
      <w:pPr>
        <w:autoSpaceDE w:val="0"/>
        <w:autoSpaceDN w:val="0"/>
        <w:adjustRightInd w:val="0"/>
        <w:rPr>
          <w:rFonts w:asciiTheme="minorHAnsi" w:hAnsiTheme="minorHAnsi" w:cstheme="minorHAnsi"/>
          <w:bCs/>
          <w:i/>
          <w:iCs/>
          <w:szCs w:val="24"/>
          <w:u w:val="single"/>
        </w:rPr>
      </w:pPr>
      <w:r w:rsidRPr="00AA7ACA">
        <w:rPr>
          <w:rFonts w:asciiTheme="minorHAnsi" w:hAnsiTheme="minorHAnsi" w:cstheme="minorHAnsi"/>
          <w:bCs/>
          <w:i/>
          <w:iCs/>
          <w:szCs w:val="24"/>
          <w:u w:val="single"/>
        </w:rPr>
        <w:t>Pathways to Excellence Seminar Organizer</w:t>
      </w:r>
    </w:p>
    <w:p w14:paraId="70C8FCFF" w14:textId="699EB413" w:rsidR="007F7A72" w:rsidRPr="00AA7ACA" w:rsidRDefault="007F7A72" w:rsidP="003F4270">
      <w:pPr>
        <w:autoSpaceDE w:val="0"/>
        <w:autoSpaceDN w:val="0"/>
        <w:adjustRightInd w:val="0"/>
        <w:rPr>
          <w:rFonts w:asciiTheme="minorHAnsi" w:hAnsiTheme="minorHAnsi" w:cstheme="minorHAnsi"/>
          <w:bCs/>
          <w:i/>
          <w:iCs/>
          <w:szCs w:val="24"/>
          <w:u w:val="single"/>
        </w:rPr>
      </w:pPr>
    </w:p>
    <w:p w14:paraId="086F3D68" w14:textId="03415B18" w:rsidR="007F7A72" w:rsidRPr="00AA7ACA" w:rsidRDefault="007F7A72" w:rsidP="003F4270">
      <w:pPr>
        <w:autoSpaceDE w:val="0"/>
        <w:autoSpaceDN w:val="0"/>
        <w:adjustRightInd w:val="0"/>
        <w:rPr>
          <w:rFonts w:asciiTheme="minorHAnsi" w:hAnsiTheme="minorHAnsi" w:cstheme="minorHAnsi"/>
          <w:bCs/>
          <w:szCs w:val="24"/>
        </w:rPr>
      </w:pPr>
      <w:r w:rsidRPr="00AA7ACA">
        <w:rPr>
          <w:rFonts w:asciiTheme="minorHAnsi" w:hAnsiTheme="minorHAnsi" w:cstheme="minorHAnsi"/>
          <w:bCs/>
          <w:szCs w:val="24"/>
        </w:rPr>
        <w:t>A senior research faculty member with a national/international reputation able to attract NIH study section members, NAS members and Nobel Laureate-quality researchers to visit the Department and meet with faculty.</w:t>
      </w:r>
      <w:r w:rsidR="0067092F" w:rsidRPr="00AA7ACA">
        <w:rPr>
          <w:rFonts w:asciiTheme="minorHAnsi" w:hAnsiTheme="minorHAnsi" w:cstheme="minorHAnsi"/>
          <w:bCs/>
          <w:szCs w:val="24"/>
        </w:rPr>
        <w:t xml:space="preserve">  Usually the Assistant Dean for Research</w:t>
      </w:r>
      <w:r w:rsidR="006165D2" w:rsidRPr="00AA7ACA">
        <w:rPr>
          <w:rFonts w:asciiTheme="minorHAnsi" w:hAnsiTheme="minorHAnsi" w:cstheme="minorHAnsi"/>
          <w:bCs/>
          <w:szCs w:val="24"/>
        </w:rPr>
        <w:t>/Associate Department Head-Research</w:t>
      </w:r>
      <w:r w:rsidR="0067092F" w:rsidRPr="00AA7ACA">
        <w:rPr>
          <w:rFonts w:asciiTheme="minorHAnsi" w:hAnsiTheme="minorHAnsi" w:cstheme="minorHAnsi"/>
          <w:bCs/>
          <w:szCs w:val="24"/>
        </w:rPr>
        <w:t xml:space="preserve">.  </w:t>
      </w:r>
      <w:r w:rsidR="005D0460" w:rsidRPr="00AA7ACA">
        <w:rPr>
          <w:rFonts w:asciiTheme="minorHAnsi" w:hAnsiTheme="minorHAnsi" w:cstheme="minorHAnsi"/>
          <w:bCs/>
          <w:szCs w:val="24"/>
        </w:rPr>
        <w:t>Appointed</w:t>
      </w:r>
      <w:r w:rsidR="0067092F" w:rsidRPr="00AA7ACA">
        <w:rPr>
          <w:rFonts w:asciiTheme="minorHAnsi" w:hAnsiTheme="minorHAnsi" w:cstheme="minorHAnsi"/>
          <w:bCs/>
          <w:szCs w:val="24"/>
        </w:rPr>
        <w:t xml:space="preserve"> by the BMS Department Head.</w:t>
      </w:r>
    </w:p>
    <w:p w14:paraId="23F5E6A5" w14:textId="2B9E1844" w:rsidR="007F7A72" w:rsidRPr="00AA7ACA" w:rsidRDefault="007F7A72" w:rsidP="003F4270">
      <w:pPr>
        <w:autoSpaceDE w:val="0"/>
        <w:autoSpaceDN w:val="0"/>
        <w:adjustRightInd w:val="0"/>
        <w:rPr>
          <w:rFonts w:asciiTheme="minorHAnsi" w:hAnsiTheme="minorHAnsi" w:cstheme="minorHAnsi"/>
          <w:bCs/>
          <w:i/>
          <w:iCs/>
          <w:szCs w:val="24"/>
          <w:u w:val="single"/>
        </w:rPr>
      </w:pPr>
    </w:p>
    <w:p w14:paraId="6B15B7C0" w14:textId="1B32BE07" w:rsidR="007F7A72" w:rsidRPr="00AA7ACA" w:rsidRDefault="0067092F" w:rsidP="003F4270">
      <w:pPr>
        <w:autoSpaceDE w:val="0"/>
        <w:autoSpaceDN w:val="0"/>
        <w:adjustRightInd w:val="0"/>
        <w:rPr>
          <w:rFonts w:asciiTheme="minorHAnsi" w:hAnsiTheme="minorHAnsi" w:cstheme="minorHAnsi"/>
          <w:bCs/>
          <w:i/>
          <w:iCs/>
          <w:szCs w:val="24"/>
          <w:u w:val="single"/>
        </w:rPr>
      </w:pPr>
      <w:r w:rsidRPr="00AA7ACA">
        <w:rPr>
          <w:rFonts w:asciiTheme="minorHAnsi" w:hAnsiTheme="minorHAnsi" w:cstheme="minorHAnsi"/>
          <w:bCs/>
          <w:i/>
          <w:iCs/>
          <w:szCs w:val="24"/>
          <w:u w:val="single"/>
        </w:rPr>
        <w:t xml:space="preserve">BMS </w:t>
      </w:r>
      <w:r w:rsidR="007F7A72" w:rsidRPr="00AA7ACA">
        <w:rPr>
          <w:rFonts w:asciiTheme="minorHAnsi" w:hAnsiTheme="minorHAnsi" w:cstheme="minorHAnsi"/>
          <w:bCs/>
          <w:i/>
          <w:iCs/>
          <w:szCs w:val="24"/>
          <w:u w:val="single"/>
        </w:rPr>
        <w:t>Seed Grant Organizer</w:t>
      </w:r>
    </w:p>
    <w:p w14:paraId="5FAFD9F3" w14:textId="784934EA" w:rsidR="0067092F" w:rsidRPr="00AA7ACA" w:rsidRDefault="0067092F" w:rsidP="003F4270">
      <w:pPr>
        <w:autoSpaceDE w:val="0"/>
        <w:autoSpaceDN w:val="0"/>
        <w:adjustRightInd w:val="0"/>
        <w:rPr>
          <w:rFonts w:asciiTheme="minorHAnsi" w:hAnsiTheme="minorHAnsi" w:cstheme="minorHAnsi"/>
          <w:bCs/>
          <w:i/>
          <w:iCs/>
          <w:szCs w:val="24"/>
          <w:u w:val="single"/>
        </w:rPr>
      </w:pPr>
    </w:p>
    <w:p w14:paraId="2B7FEC98" w14:textId="3D6AC718" w:rsidR="0067092F" w:rsidRPr="00AA7ACA" w:rsidRDefault="007229B9" w:rsidP="003F4270">
      <w:pPr>
        <w:autoSpaceDE w:val="0"/>
        <w:autoSpaceDN w:val="0"/>
        <w:adjustRightInd w:val="0"/>
        <w:rPr>
          <w:rFonts w:asciiTheme="minorHAnsi" w:hAnsiTheme="minorHAnsi" w:cstheme="minorHAnsi"/>
          <w:bCs/>
          <w:szCs w:val="24"/>
        </w:rPr>
      </w:pPr>
      <w:r w:rsidRPr="00AA7ACA">
        <w:rPr>
          <w:rFonts w:asciiTheme="minorHAnsi" w:hAnsiTheme="minorHAnsi" w:cstheme="minorHAnsi"/>
          <w:bCs/>
          <w:szCs w:val="24"/>
        </w:rPr>
        <w:t xml:space="preserve">Usually </w:t>
      </w:r>
      <w:r w:rsidR="0067092F" w:rsidRPr="00AA7ACA">
        <w:rPr>
          <w:rFonts w:asciiTheme="minorHAnsi" w:hAnsiTheme="minorHAnsi" w:cstheme="minorHAnsi"/>
          <w:bCs/>
          <w:szCs w:val="24"/>
        </w:rPr>
        <w:t>Chair of the College of Dentistry Research Committee.</w:t>
      </w:r>
      <w:r w:rsidR="00CC0E9B" w:rsidRPr="00AA7ACA">
        <w:rPr>
          <w:rFonts w:asciiTheme="minorHAnsi" w:hAnsiTheme="minorHAnsi" w:cstheme="minorHAnsi"/>
          <w:bCs/>
          <w:szCs w:val="24"/>
        </w:rPr>
        <w:t xml:space="preserve">  </w:t>
      </w:r>
      <w:r w:rsidR="005D0460" w:rsidRPr="00AA7ACA">
        <w:rPr>
          <w:rFonts w:asciiTheme="minorHAnsi" w:hAnsiTheme="minorHAnsi" w:cstheme="minorHAnsi"/>
          <w:bCs/>
          <w:szCs w:val="24"/>
        </w:rPr>
        <w:t>Appointed</w:t>
      </w:r>
      <w:r w:rsidR="00CC0E9B" w:rsidRPr="00AA7ACA">
        <w:rPr>
          <w:rFonts w:asciiTheme="minorHAnsi" w:hAnsiTheme="minorHAnsi" w:cstheme="minorHAnsi"/>
          <w:bCs/>
          <w:szCs w:val="24"/>
        </w:rPr>
        <w:t xml:space="preserve"> by the BMS Department Head.</w:t>
      </w:r>
    </w:p>
    <w:p w14:paraId="3D358157" w14:textId="48AFCE62" w:rsidR="007F7A72" w:rsidRPr="00AA7ACA" w:rsidRDefault="007F7A72" w:rsidP="003F4270">
      <w:pPr>
        <w:autoSpaceDE w:val="0"/>
        <w:autoSpaceDN w:val="0"/>
        <w:adjustRightInd w:val="0"/>
        <w:rPr>
          <w:rFonts w:asciiTheme="minorHAnsi" w:hAnsiTheme="minorHAnsi" w:cstheme="minorHAnsi"/>
          <w:bCs/>
          <w:i/>
          <w:iCs/>
          <w:szCs w:val="24"/>
          <w:u w:val="single"/>
        </w:rPr>
      </w:pPr>
    </w:p>
    <w:p w14:paraId="1B8D4F09" w14:textId="148248DA" w:rsidR="007F7A72" w:rsidRPr="00AA7ACA" w:rsidRDefault="007F7A72" w:rsidP="003F4270">
      <w:pPr>
        <w:autoSpaceDE w:val="0"/>
        <w:autoSpaceDN w:val="0"/>
        <w:adjustRightInd w:val="0"/>
        <w:rPr>
          <w:rFonts w:asciiTheme="minorHAnsi" w:hAnsiTheme="minorHAnsi" w:cstheme="minorHAnsi"/>
          <w:bCs/>
          <w:i/>
          <w:iCs/>
          <w:szCs w:val="24"/>
          <w:u w:val="single"/>
        </w:rPr>
      </w:pPr>
      <w:r w:rsidRPr="00AA7ACA">
        <w:rPr>
          <w:rFonts w:asciiTheme="minorHAnsi" w:hAnsiTheme="minorHAnsi" w:cstheme="minorHAnsi"/>
          <w:bCs/>
          <w:i/>
          <w:iCs/>
          <w:szCs w:val="24"/>
          <w:u w:val="single"/>
        </w:rPr>
        <w:t>Fire Marshalls</w:t>
      </w:r>
    </w:p>
    <w:p w14:paraId="65317E6D" w14:textId="36CC1462" w:rsidR="0067092F" w:rsidRPr="00AA7ACA" w:rsidRDefault="0067092F" w:rsidP="003F4270">
      <w:pPr>
        <w:autoSpaceDE w:val="0"/>
        <w:autoSpaceDN w:val="0"/>
        <w:adjustRightInd w:val="0"/>
        <w:rPr>
          <w:rFonts w:asciiTheme="minorHAnsi" w:hAnsiTheme="minorHAnsi" w:cstheme="minorHAnsi"/>
          <w:bCs/>
          <w:i/>
          <w:iCs/>
          <w:szCs w:val="24"/>
          <w:u w:val="single"/>
        </w:rPr>
      </w:pPr>
    </w:p>
    <w:p w14:paraId="4E36C5F2" w14:textId="49A9A19D" w:rsidR="0067092F" w:rsidRPr="00AA7ACA" w:rsidRDefault="0067092F" w:rsidP="003F4270">
      <w:pPr>
        <w:autoSpaceDE w:val="0"/>
        <w:autoSpaceDN w:val="0"/>
        <w:adjustRightInd w:val="0"/>
        <w:rPr>
          <w:rFonts w:asciiTheme="minorHAnsi" w:hAnsiTheme="minorHAnsi" w:cstheme="minorHAnsi"/>
          <w:bCs/>
          <w:szCs w:val="24"/>
        </w:rPr>
      </w:pPr>
      <w:r w:rsidRPr="00AA7ACA">
        <w:rPr>
          <w:rFonts w:asciiTheme="minorHAnsi" w:hAnsiTheme="minorHAnsi" w:cstheme="minorHAnsi"/>
          <w:bCs/>
          <w:szCs w:val="24"/>
        </w:rPr>
        <w:t>Three members selected by the BMS Department Head from those with offices on the 4</w:t>
      </w:r>
      <w:r w:rsidRPr="00AA7ACA">
        <w:rPr>
          <w:rFonts w:asciiTheme="minorHAnsi" w:hAnsiTheme="minorHAnsi" w:cstheme="minorHAnsi"/>
          <w:bCs/>
          <w:szCs w:val="24"/>
          <w:vertAlign w:val="superscript"/>
        </w:rPr>
        <w:t>th</w:t>
      </w:r>
      <w:r w:rsidRPr="00AA7ACA">
        <w:rPr>
          <w:rFonts w:asciiTheme="minorHAnsi" w:hAnsiTheme="minorHAnsi" w:cstheme="minorHAnsi"/>
          <w:bCs/>
          <w:szCs w:val="24"/>
        </w:rPr>
        <w:t xml:space="preserve"> floor of the main building and the 1</w:t>
      </w:r>
      <w:r w:rsidRPr="00AA7ACA">
        <w:rPr>
          <w:rFonts w:asciiTheme="minorHAnsi" w:hAnsiTheme="minorHAnsi" w:cstheme="minorHAnsi"/>
          <w:bCs/>
          <w:szCs w:val="24"/>
          <w:vertAlign w:val="superscript"/>
        </w:rPr>
        <w:t>st</w:t>
      </w:r>
      <w:r w:rsidRPr="00AA7ACA">
        <w:rPr>
          <w:rFonts w:asciiTheme="minorHAnsi" w:hAnsiTheme="minorHAnsi" w:cstheme="minorHAnsi"/>
          <w:bCs/>
          <w:szCs w:val="24"/>
        </w:rPr>
        <w:t xml:space="preserve"> and 2</w:t>
      </w:r>
      <w:r w:rsidRPr="00AA7ACA">
        <w:rPr>
          <w:rFonts w:asciiTheme="minorHAnsi" w:hAnsiTheme="minorHAnsi" w:cstheme="minorHAnsi"/>
          <w:bCs/>
          <w:szCs w:val="24"/>
          <w:vertAlign w:val="superscript"/>
        </w:rPr>
        <w:t>nd</w:t>
      </w:r>
      <w:r w:rsidRPr="00AA7ACA">
        <w:rPr>
          <w:rFonts w:asciiTheme="minorHAnsi" w:hAnsiTheme="minorHAnsi" w:cstheme="minorHAnsi"/>
          <w:bCs/>
          <w:szCs w:val="24"/>
        </w:rPr>
        <w:t xml:space="preserve"> floor of the Sciences Building</w:t>
      </w:r>
      <w:r w:rsidR="007229B9" w:rsidRPr="00AA7ACA">
        <w:rPr>
          <w:rFonts w:asciiTheme="minorHAnsi" w:hAnsiTheme="minorHAnsi" w:cstheme="minorHAnsi"/>
          <w:bCs/>
          <w:szCs w:val="24"/>
        </w:rPr>
        <w:t xml:space="preserve"> respectively</w:t>
      </w:r>
      <w:r w:rsidRPr="00AA7ACA">
        <w:rPr>
          <w:rFonts w:asciiTheme="minorHAnsi" w:hAnsiTheme="minorHAnsi" w:cstheme="minorHAnsi"/>
          <w:bCs/>
          <w:szCs w:val="24"/>
        </w:rPr>
        <w:t>.</w:t>
      </w:r>
    </w:p>
    <w:p w14:paraId="48A2C641" w14:textId="279C7DBD" w:rsidR="007F7A72" w:rsidRPr="00AA7ACA" w:rsidRDefault="007F7A72" w:rsidP="003F4270">
      <w:pPr>
        <w:autoSpaceDE w:val="0"/>
        <w:autoSpaceDN w:val="0"/>
        <w:adjustRightInd w:val="0"/>
        <w:rPr>
          <w:rFonts w:asciiTheme="minorHAnsi" w:hAnsiTheme="minorHAnsi" w:cstheme="minorHAnsi"/>
          <w:bCs/>
          <w:i/>
          <w:iCs/>
          <w:szCs w:val="24"/>
          <w:u w:val="single"/>
        </w:rPr>
      </w:pPr>
    </w:p>
    <w:p w14:paraId="39907222" w14:textId="13E83521" w:rsidR="007F7A72" w:rsidRPr="00AA7ACA" w:rsidRDefault="007F7A72" w:rsidP="003F4270">
      <w:pPr>
        <w:autoSpaceDE w:val="0"/>
        <w:autoSpaceDN w:val="0"/>
        <w:adjustRightInd w:val="0"/>
        <w:rPr>
          <w:rFonts w:asciiTheme="minorHAnsi" w:hAnsiTheme="minorHAnsi" w:cstheme="minorHAnsi"/>
          <w:bCs/>
          <w:i/>
          <w:iCs/>
          <w:szCs w:val="24"/>
          <w:u w:val="single"/>
        </w:rPr>
      </w:pPr>
      <w:r w:rsidRPr="00AA7ACA">
        <w:rPr>
          <w:rFonts w:asciiTheme="minorHAnsi" w:hAnsiTheme="minorHAnsi" w:cstheme="minorHAnsi"/>
          <w:bCs/>
          <w:i/>
          <w:iCs/>
          <w:szCs w:val="24"/>
          <w:u w:val="single"/>
        </w:rPr>
        <w:t>Safety Evacuation Organizers</w:t>
      </w:r>
    </w:p>
    <w:p w14:paraId="4E4AF7EC" w14:textId="2D15F6C5" w:rsidR="0067092F" w:rsidRPr="00AA7ACA" w:rsidRDefault="0067092F" w:rsidP="003F4270">
      <w:pPr>
        <w:autoSpaceDE w:val="0"/>
        <w:autoSpaceDN w:val="0"/>
        <w:adjustRightInd w:val="0"/>
        <w:rPr>
          <w:rFonts w:asciiTheme="minorHAnsi" w:hAnsiTheme="minorHAnsi" w:cstheme="minorHAnsi"/>
          <w:bCs/>
          <w:i/>
          <w:iCs/>
          <w:szCs w:val="24"/>
          <w:u w:val="single"/>
        </w:rPr>
      </w:pPr>
    </w:p>
    <w:p w14:paraId="3EA8BBD5" w14:textId="560E9175" w:rsidR="0067092F" w:rsidRPr="00AA7ACA" w:rsidRDefault="0067092F" w:rsidP="003F4270">
      <w:pPr>
        <w:autoSpaceDE w:val="0"/>
        <w:autoSpaceDN w:val="0"/>
        <w:adjustRightInd w:val="0"/>
        <w:rPr>
          <w:rFonts w:asciiTheme="minorHAnsi" w:hAnsiTheme="minorHAnsi" w:cstheme="minorHAnsi"/>
          <w:bCs/>
          <w:szCs w:val="24"/>
        </w:rPr>
      </w:pPr>
      <w:r w:rsidRPr="00AA7ACA">
        <w:rPr>
          <w:rFonts w:asciiTheme="minorHAnsi" w:hAnsiTheme="minorHAnsi" w:cstheme="minorHAnsi"/>
          <w:bCs/>
          <w:szCs w:val="24"/>
        </w:rPr>
        <w:t>Selected by the Associate Dean for Research and Graduate Studies.</w:t>
      </w:r>
    </w:p>
    <w:p w14:paraId="2B6061CF" w14:textId="77777777" w:rsidR="007F7A72" w:rsidRPr="00AA7ACA" w:rsidRDefault="007F7A72" w:rsidP="003F4270">
      <w:pPr>
        <w:autoSpaceDE w:val="0"/>
        <w:autoSpaceDN w:val="0"/>
        <w:adjustRightInd w:val="0"/>
        <w:rPr>
          <w:rFonts w:asciiTheme="minorHAnsi" w:hAnsiTheme="minorHAnsi" w:cstheme="minorHAnsi"/>
          <w:b/>
          <w:szCs w:val="24"/>
        </w:rPr>
      </w:pPr>
    </w:p>
    <w:p w14:paraId="799D5ECE" w14:textId="08173E3E" w:rsidR="00AA7ACA" w:rsidRDefault="007F7A72" w:rsidP="003F4270">
      <w:pPr>
        <w:autoSpaceDE w:val="0"/>
        <w:autoSpaceDN w:val="0"/>
        <w:adjustRightInd w:val="0"/>
        <w:rPr>
          <w:rFonts w:asciiTheme="minorHAnsi" w:hAnsiTheme="minorHAnsi" w:cstheme="minorHAnsi"/>
          <w:b/>
          <w:szCs w:val="24"/>
        </w:rPr>
      </w:pPr>
      <w:r w:rsidRPr="00AA7ACA">
        <w:rPr>
          <w:rFonts w:asciiTheme="minorHAnsi" w:hAnsiTheme="minorHAnsi" w:cstheme="minorHAnsi"/>
          <w:b/>
          <w:szCs w:val="24"/>
        </w:rPr>
        <w:t xml:space="preserve">Article 4 </w:t>
      </w:r>
      <w:r w:rsidR="003D16F7" w:rsidRPr="00AA7ACA">
        <w:rPr>
          <w:rFonts w:asciiTheme="minorHAnsi" w:hAnsiTheme="minorHAnsi" w:cstheme="minorHAnsi"/>
          <w:b/>
          <w:szCs w:val="24"/>
        </w:rPr>
        <w:t>–</w:t>
      </w:r>
      <w:r w:rsidRPr="00AA7ACA">
        <w:rPr>
          <w:rFonts w:asciiTheme="minorHAnsi" w:hAnsiTheme="minorHAnsi" w:cstheme="minorHAnsi"/>
          <w:b/>
          <w:szCs w:val="24"/>
        </w:rPr>
        <w:t xml:space="preserve"> </w:t>
      </w:r>
      <w:r w:rsidR="00AA7ACA">
        <w:rPr>
          <w:rFonts w:asciiTheme="minorHAnsi" w:hAnsiTheme="minorHAnsi" w:cstheme="minorHAnsi"/>
          <w:b/>
          <w:szCs w:val="24"/>
        </w:rPr>
        <w:t>Faculty Salary Disbursement from Grants</w:t>
      </w:r>
    </w:p>
    <w:p w14:paraId="4A88BCE5" w14:textId="77777777" w:rsidR="00AA7ACA" w:rsidRDefault="00AA7ACA" w:rsidP="003F4270">
      <w:pPr>
        <w:autoSpaceDE w:val="0"/>
        <w:autoSpaceDN w:val="0"/>
        <w:adjustRightInd w:val="0"/>
        <w:rPr>
          <w:rFonts w:asciiTheme="minorHAnsi" w:hAnsiTheme="minorHAnsi" w:cstheme="minorHAnsi"/>
          <w:b/>
          <w:szCs w:val="24"/>
        </w:rPr>
      </w:pPr>
    </w:p>
    <w:p w14:paraId="2E956573" w14:textId="254B0843" w:rsidR="003D16F7" w:rsidRPr="00AA7ACA" w:rsidRDefault="003D16F7" w:rsidP="003F4270">
      <w:pPr>
        <w:autoSpaceDE w:val="0"/>
        <w:autoSpaceDN w:val="0"/>
        <w:adjustRightInd w:val="0"/>
        <w:rPr>
          <w:rFonts w:asciiTheme="minorHAnsi" w:hAnsiTheme="minorHAnsi" w:cstheme="minorHAnsi"/>
          <w:bCs/>
          <w:i/>
          <w:iCs/>
          <w:szCs w:val="24"/>
          <w:u w:val="single"/>
        </w:rPr>
      </w:pPr>
      <w:r w:rsidRPr="00AA7ACA">
        <w:rPr>
          <w:rFonts w:asciiTheme="minorHAnsi" w:hAnsiTheme="minorHAnsi" w:cstheme="minorHAnsi"/>
          <w:bCs/>
          <w:i/>
          <w:iCs/>
          <w:u w:val="single"/>
        </w:rPr>
        <w:t>Distribution of Salary Savings Generated from Externally Funded Research or Contract</w:t>
      </w:r>
      <w:r w:rsidR="00650E0B" w:rsidRPr="00AA7ACA">
        <w:rPr>
          <w:rFonts w:asciiTheme="minorHAnsi" w:hAnsiTheme="minorHAnsi" w:cstheme="minorHAnsi"/>
          <w:bCs/>
          <w:i/>
          <w:iCs/>
          <w:u w:val="single"/>
        </w:rPr>
        <w:t>s</w:t>
      </w:r>
    </w:p>
    <w:p w14:paraId="24AAA90F" w14:textId="42245933" w:rsidR="003D16F7" w:rsidRPr="00AA7ACA" w:rsidRDefault="003D16F7" w:rsidP="003F4270">
      <w:pPr>
        <w:autoSpaceDE w:val="0"/>
        <w:autoSpaceDN w:val="0"/>
        <w:adjustRightInd w:val="0"/>
        <w:rPr>
          <w:rFonts w:asciiTheme="minorHAnsi" w:hAnsiTheme="minorHAnsi" w:cstheme="minorHAnsi"/>
          <w:b/>
          <w:szCs w:val="24"/>
        </w:rPr>
      </w:pPr>
    </w:p>
    <w:p w14:paraId="077ECE93" w14:textId="21D67399" w:rsidR="003D16F7" w:rsidRPr="00AA7ACA" w:rsidRDefault="003D16F7" w:rsidP="003F4270">
      <w:pPr>
        <w:autoSpaceDE w:val="0"/>
        <w:autoSpaceDN w:val="0"/>
        <w:adjustRightInd w:val="0"/>
        <w:rPr>
          <w:rFonts w:asciiTheme="minorHAnsi" w:hAnsiTheme="minorHAnsi" w:cstheme="minorHAnsi"/>
          <w:b/>
          <w:szCs w:val="24"/>
        </w:rPr>
      </w:pPr>
      <w:r w:rsidRPr="00AA7ACA">
        <w:rPr>
          <w:rFonts w:asciiTheme="minorHAnsi" w:hAnsiTheme="minorHAnsi" w:cstheme="minorHAnsi"/>
        </w:rPr>
        <w:t xml:space="preserve">External funds support sponsor-approved research objectives and often involve faculty time and effort during the academic year. </w:t>
      </w:r>
      <w:r w:rsidR="00650E0B" w:rsidRPr="00AA7ACA">
        <w:rPr>
          <w:rFonts w:asciiTheme="minorHAnsi" w:hAnsiTheme="minorHAnsi" w:cstheme="minorHAnsi"/>
        </w:rPr>
        <w:t xml:space="preserve"> </w:t>
      </w:r>
      <w:r w:rsidRPr="00AA7ACA">
        <w:rPr>
          <w:rFonts w:asciiTheme="minorHAnsi" w:hAnsiTheme="minorHAnsi" w:cstheme="minorHAnsi"/>
        </w:rPr>
        <w:t xml:space="preserve">The </w:t>
      </w:r>
      <w:r w:rsidR="00650E0B" w:rsidRPr="00AA7ACA">
        <w:rPr>
          <w:rFonts w:asciiTheme="minorHAnsi" w:hAnsiTheme="minorHAnsi" w:cstheme="minorHAnsi"/>
        </w:rPr>
        <w:t>BMS department</w:t>
      </w:r>
      <w:r w:rsidRPr="00AA7ACA">
        <w:rPr>
          <w:rFonts w:asciiTheme="minorHAnsi" w:hAnsiTheme="minorHAnsi" w:cstheme="minorHAnsi"/>
        </w:rPr>
        <w:t xml:space="preserve"> distribute</w:t>
      </w:r>
      <w:r w:rsidR="00650E0B" w:rsidRPr="00AA7ACA">
        <w:rPr>
          <w:rFonts w:asciiTheme="minorHAnsi" w:hAnsiTheme="minorHAnsi" w:cstheme="minorHAnsi"/>
        </w:rPr>
        <w:t>s</w:t>
      </w:r>
      <w:r w:rsidRPr="00AA7ACA">
        <w:rPr>
          <w:rFonts w:asciiTheme="minorHAnsi" w:hAnsiTheme="minorHAnsi" w:cstheme="minorHAnsi"/>
        </w:rPr>
        <w:t xml:space="preserve"> generated salary savings from externally </w:t>
      </w:r>
      <w:r w:rsidRPr="00AA7ACA">
        <w:rPr>
          <w:rFonts w:asciiTheme="minorHAnsi" w:hAnsiTheme="minorHAnsi" w:cstheme="minorHAnsi"/>
        </w:rPr>
        <w:lastRenderedPageBreak/>
        <w:t xml:space="preserve">funded research or contracts </w:t>
      </w:r>
      <w:r w:rsidR="00650E0B" w:rsidRPr="00AA7ACA">
        <w:rPr>
          <w:rFonts w:asciiTheme="minorHAnsi" w:hAnsiTheme="minorHAnsi" w:cstheme="minorHAnsi"/>
        </w:rPr>
        <w:t xml:space="preserve">according to a COD formula </w:t>
      </w:r>
      <w:r w:rsidRPr="00AA7ACA">
        <w:rPr>
          <w:rFonts w:asciiTheme="minorHAnsi" w:hAnsiTheme="minorHAnsi" w:cstheme="minorHAnsi"/>
        </w:rPr>
        <w:t xml:space="preserve">as follows: </w:t>
      </w:r>
      <w:r w:rsidR="00650E0B" w:rsidRPr="00AA7ACA">
        <w:rPr>
          <w:rFonts w:asciiTheme="minorHAnsi" w:hAnsiTheme="minorHAnsi" w:cstheme="minorHAnsi"/>
        </w:rPr>
        <w:t xml:space="preserve">College 50%, PI </w:t>
      </w:r>
      <w:r w:rsidR="000F311D" w:rsidRPr="00AA7ACA">
        <w:rPr>
          <w:rFonts w:asciiTheme="minorHAnsi" w:hAnsiTheme="minorHAnsi" w:cstheme="minorHAnsi"/>
        </w:rPr>
        <w:t>3</w:t>
      </w:r>
      <w:r w:rsidR="00650E0B" w:rsidRPr="00AA7ACA">
        <w:rPr>
          <w:rFonts w:asciiTheme="minorHAnsi" w:hAnsiTheme="minorHAnsi" w:cstheme="minorHAnsi"/>
        </w:rPr>
        <w:t xml:space="preserve">0% and </w:t>
      </w:r>
      <w:r w:rsidRPr="00AA7ACA">
        <w:rPr>
          <w:rFonts w:asciiTheme="minorHAnsi" w:hAnsiTheme="minorHAnsi" w:cstheme="minorHAnsi"/>
        </w:rPr>
        <w:t xml:space="preserve">Department </w:t>
      </w:r>
      <w:r w:rsidR="000F311D" w:rsidRPr="00AA7ACA">
        <w:rPr>
          <w:rFonts w:asciiTheme="minorHAnsi" w:hAnsiTheme="minorHAnsi" w:cstheme="minorHAnsi"/>
        </w:rPr>
        <w:t>2</w:t>
      </w:r>
      <w:r w:rsidRPr="00AA7ACA">
        <w:rPr>
          <w:rFonts w:asciiTheme="minorHAnsi" w:hAnsiTheme="minorHAnsi" w:cstheme="minorHAnsi"/>
        </w:rPr>
        <w:t xml:space="preserve">0%. </w:t>
      </w:r>
      <w:r w:rsidR="001A5F36" w:rsidRPr="00AA7ACA">
        <w:rPr>
          <w:rFonts w:asciiTheme="minorHAnsi" w:hAnsiTheme="minorHAnsi" w:cstheme="minorHAnsi"/>
        </w:rPr>
        <w:t xml:space="preserve"> 20%</w:t>
      </w:r>
      <w:r w:rsidR="008B76AF" w:rsidRPr="00AA7ACA">
        <w:rPr>
          <w:rFonts w:asciiTheme="minorHAnsi" w:hAnsiTheme="minorHAnsi" w:cstheme="minorHAnsi"/>
        </w:rPr>
        <w:t xml:space="preserve"> of the </w:t>
      </w:r>
      <w:r w:rsidR="001A5F36" w:rsidRPr="00AA7ACA">
        <w:rPr>
          <w:rFonts w:asciiTheme="minorHAnsi" w:hAnsiTheme="minorHAnsi" w:cstheme="minorHAnsi"/>
        </w:rPr>
        <w:t xml:space="preserve">PI </w:t>
      </w:r>
      <w:r w:rsidR="008B76AF" w:rsidRPr="00AA7ACA">
        <w:rPr>
          <w:rFonts w:asciiTheme="minorHAnsi" w:hAnsiTheme="minorHAnsi" w:cstheme="minorHAnsi"/>
        </w:rPr>
        <w:t xml:space="preserve">salary savings </w:t>
      </w:r>
      <w:r w:rsidR="001A5F36" w:rsidRPr="00AA7ACA">
        <w:rPr>
          <w:rFonts w:asciiTheme="minorHAnsi" w:hAnsiTheme="minorHAnsi" w:cstheme="minorHAnsi"/>
        </w:rPr>
        <w:t xml:space="preserve">for all grants (but no more than $5,000 total annually) </w:t>
      </w:r>
      <w:r w:rsidR="008B76AF" w:rsidRPr="00AA7ACA">
        <w:rPr>
          <w:rFonts w:asciiTheme="minorHAnsi" w:hAnsiTheme="minorHAnsi" w:cstheme="minorHAnsi"/>
        </w:rPr>
        <w:t xml:space="preserve">is available to be used as </w:t>
      </w:r>
      <w:r w:rsidR="000F311D" w:rsidRPr="00AA7ACA">
        <w:rPr>
          <w:rFonts w:asciiTheme="minorHAnsi" w:hAnsiTheme="minorHAnsi" w:cstheme="minorHAnsi"/>
        </w:rPr>
        <w:t>a one-time</w:t>
      </w:r>
      <w:r w:rsidR="008B76AF" w:rsidRPr="00AA7ACA">
        <w:rPr>
          <w:rFonts w:asciiTheme="minorHAnsi" w:hAnsiTheme="minorHAnsi" w:cstheme="minorHAnsi"/>
        </w:rPr>
        <w:t xml:space="preserve"> annual merit payment for the PI</w:t>
      </w:r>
      <w:r w:rsidR="001A5F36" w:rsidRPr="00AA7ACA">
        <w:rPr>
          <w:rFonts w:asciiTheme="minorHAnsi" w:hAnsiTheme="minorHAnsi" w:cstheme="minorHAnsi"/>
        </w:rPr>
        <w:t>.  PIs can also use salary savings to pay their staff/postdocs a one-time merit payment.  This payment generally occurs</w:t>
      </w:r>
      <w:r w:rsidR="008B76AF" w:rsidRPr="00AA7ACA">
        <w:rPr>
          <w:rFonts w:asciiTheme="minorHAnsi" w:hAnsiTheme="minorHAnsi" w:cstheme="minorHAnsi"/>
        </w:rPr>
        <w:t xml:space="preserve"> in February/March of each year depending on permission from the Dean.  </w:t>
      </w:r>
      <w:r w:rsidRPr="00AA7ACA">
        <w:rPr>
          <w:rFonts w:asciiTheme="minorHAnsi" w:hAnsiTheme="minorHAnsi" w:cstheme="minorHAnsi"/>
        </w:rPr>
        <w:t xml:space="preserve">Salary savings returns </w:t>
      </w:r>
      <w:r w:rsidR="00650E0B" w:rsidRPr="00AA7ACA">
        <w:rPr>
          <w:rFonts w:asciiTheme="minorHAnsi" w:hAnsiTheme="minorHAnsi" w:cstheme="minorHAnsi"/>
        </w:rPr>
        <w:t>are</w:t>
      </w:r>
      <w:r w:rsidRPr="00AA7ACA">
        <w:rPr>
          <w:rFonts w:asciiTheme="minorHAnsi" w:hAnsiTheme="minorHAnsi" w:cstheme="minorHAnsi"/>
        </w:rPr>
        <w:t xml:space="preserve"> reviewed </w:t>
      </w:r>
      <w:r w:rsidR="00650E0B" w:rsidRPr="00AA7ACA">
        <w:rPr>
          <w:rFonts w:asciiTheme="minorHAnsi" w:hAnsiTheme="minorHAnsi" w:cstheme="minorHAnsi"/>
        </w:rPr>
        <w:t xml:space="preserve">by the college </w:t>
      </w:r>
      <w:r w:rsidRPr="00AA7ACA">
        <w:rPr>
          <w:rFonts w:asciiTheme="minorHAnsi" w:hAnsiTheme="minorHAnsi" w:cstheme="minorHAnsi"/>
        </w:rPr>
        <w:t>and reconciled at fiscal year-end.</w:t>
      </w:r>
    </w:p>
    <w:p w14:paraId="26BCC52F" w14:textId="77777777" w:rsidR="003D16F7" w:rsidRPr="00AA7ACA" w:rsidRDefault="003D16F7" w:rsidP="003F4270">
      <w:pPr>
        <w:autoSpaceDE w:val="0"/>
        <w:autoSpaceDN w:val="0"/>
        <w:adjustRightInd w:val="0"/>
        <w:rPr>
          <w:rFonts w:asciiTheme="minorHAnsi" w:hAnsiTheme="minorHAnsi" w:cstheme="minorHAnsi"/>
          <w:b/>
          <w:szCs w:val="24"/>
        </w:rPr>
      </w:pPr>
    </w:p>
    <w:p w14:paraId="6E51B2A4" w14:textId="4BEAF10A" w:rsidR="003D16F7" w:rsidRPr="00AA7ACA" w:rsidRDefault="003D16F7" w:rsidP="003F4270">
      <w:pPr>
        <w:autoSpaceDE w:val="0"/>
        <w:autoSpaceDN w:val="0"/>
        <w:adjustRightInd w:val="0"/>
        <w:rPr>
          <w:rFonts w:asciiTheme="minorHAnsi" w:hAnsiTheme="minorHAnsi" w:cstheme="minorHAnsi"/>
          <w:bCs/>
          <w:i/>
          <w:iCs/>
          <w:szCs w:val="24"/>
          <w:u w:val="single"/>
        </w:rPr>
      </w:pPr>
      <w:r w:rsidRPr="00AA7ACA">
        <w:rPr>
          <w:rFonts w:asciiTheme="minorHAnsi" w:hAnsiTheme="minorHAnsi" w:cstheme="minorHAnsi"/>
          <w:bCs/>
          <w:i/>
          <w:iCs/>
          <w:szCs w:val="24"/>
          <w:u w:val="single"/>
        </w:rPr>
        <w:t>Faculty 75:25 Incentive Program</w:t>
      </w:r>
    </w:p>
    <w:p w14:paraId="42D16B9F" w14:textId="77777777" w:rsidR="003D16F7" w:rsidRPr="00AA7ACA" w:rsidRDefault="003D16F7" w:rsidP="003F4270">
      <w:pPr>
        <w:autoSpaceDE w:val="0"/>
        <w:autoSpaceDN w:val="0"/>
        <w:adjustRightInd w:val="0"/>
        <w:rPr>
          <w:rFonts w:asciiTheme="minorHAnsi" w:hAnsiTheme="minorHAnsi" w:cstheme="minorHAnsi"/>
          <w:b/>
          <w:szCs w:val="24"/>
        </w:rPr>
      </w:pPr>
    </w:p>
    <w:p w14:paraId="5B36D043" w14:textId="6FFE8F91" w:rsidR="008B76AF" w:rsidRPr="00AA7ACA" w:rsidRDefault="003D16F7" w:rsidP="003F4270">
      <w:pPr>
        <w:autoSpaceDE w:val="0"/>
        <w:autoSpaceDN w:val="0"/>
        <w:adjustRightInd w:val="0"/>
        <w:rPr>
          <w:rFonts w:asciiTheme="minorHAnsi" w:hAnsiTheme="minorHAnsi" w:cstheme="minorHAnsi"/>
          <w:bCs/>
          <w:szCs w:val="24"/>
        </w:rPr>
      </w:pPr>
      <w:r w:rsidRPr="00AA7ACA">
        <w:rPr>
          <w:rFonts w:asciiTheme="minorHAnsi" w:hAnsiTheme="minorHAnsi" w:cstheme="minorHAnsi"/>
          <w:bCs/>
          <w:szCs w:val="24"/>
        </w:rPr>
        <w:t>In order to retain highly productive research faculty, the BMS department participates in an incentive program to provide a meritorious increase in salary.</w:t>
      </w:r>
      <w:r w:rsidR="00870C88" w:rsidRPr="00AA7ACA">
        <w:rPr>
          <w:rFonts w:asciiTheme="minorHAnsi" w:hAnsiTheme="minorHAnsi" w:cstheme="minorHAnsi"/>
          <w:bCs/>
          <w:szCs w:val="24"/>
        </w:rPr>
        <w:t xml:space="preserve">  This program redirects salary on grants from salary saving to be paid as salary over and above the PIs hard money salary </w:t>
      </w:r>
      <w:r w:rsidR="00870C88" w:rsidRPr="00AA7ACA">
        <w:rPr>
          <w:rFonts w:asciiTheme="minorHAnsi" w:hAnsiTheme="minorHAnsi" w:cstheme="minorHAnsi"/>
          <w:bCs/>
          <w:szCs w:val="24"/>
        </w:rPr>
        <w:t>for the duration of certain grants</w:t>
      </w:r>
      <w:r w:rsidR="00870C88" w:rsidRPr="00AA7ACA">
        <w:rPr>
          <w:rFonts w:asciiTheme="minorHAnsi" w:hAnsiTheme="minorHAnsi" w:cstheme="minorHAnsi"/>
          <w:bCs/>
          <w:szCs w:val="24"/>
        </w:rPr>
        <w:t>.  At least 25% of the PIs salary must be budgeted on the funded proposal to be eligible for the program.</w:t>
      </w:r>
    </w:p>
    <w:p w14:paraId="1F57090E" w14:textId="77777777" w:rsidR="008B76AF" w:rsidRPr="00AA7ACA" w:rsidRDefault="008B76AF" w:rsidP="003F4270">
      <w:pPr>
        <w:autoSpaceDE w:val="0"/>
        <w:autoSpaceDN w:val="0"/>
        <w:adjustRightInd w:val="0"/>
        <w:rPr>
          <w:rFonts w:asciiTheme="minorHAnsi" w:hAnsiTheme="minorHAnsi" w:cstheme="minorHAnsi"/>
          <w:bCs/>
          <w:szCs w:val="24"/>
        </w:rPr>
      </w:pPr>
    </w:p>
    <w:p w14:paraId="21BB8C33" w14:textId="77777777" w:rsidR="001155DA" w:rsidRPr="00AA7ACA" w:rsidRDefault="00650E0B" w:rsidP="003F4270">
      <w:pPr>
        <w:autoSpaceDE w:val="0"/>
        <w:autoSpaceDN w:val="0"/>
        <w:adjustRightInd w:val="0"/>
        <w:rPr>
          <w:rFonts w:ascii="Calibri" w:hAnsi="Calibri" w:cs="Calibri"/>
          <w:sz w:val="22"/>
        </w:rPr>
      </w:pPr>
      <w:r w:rsidRPr="00AA7ACA">
        <w:rPr>
          <w:rFonts w:asciiTheme="minorHAnsi" w:hAnsiTheme="minorHAnsi" w:cstheme="minorHAnsi"/>
          <w:bCs/>
          <w:szCs w:val="24"/>
        </w:rPr>
        <w:t>Grants that are eligible are R01 equivalent or better and must be funded over at least 4 years.  Eligible faculty are PI</w:t>
      </w:r>
      <w:r w:rsidR="008B76AF" w:rsidRPr="00AA7ACA">
        <w:rPr>
          <w:rFonts w:asciiTheme="minorHAnsi" w:hAnsiTheme="minorHAnsi" w:cstheme="minorHAnsi"/>
          <w:bCs/>
          <w:szCs w:val="24"/>
        </w:rPr>
        <w:t xml:space="preserve">s only and the PI must have at least 25% of their salary listed on the grant.  All PIs on grants awarded as “multiple PI” grants </w:t>
      </w:r>
      <w:r w:rsidR="000F311D" w:rsidRPr="00AA7ACA">
        <w:rPr>
          <w:rFonts w:asciiTheme="minorHAnsi" w:hAnsiTheme="minorHAnsi" w:cstheme="minorHAnsi"/>
          <w:bCs/>
          <w:szCs w:val="24"/>
        </w:rPr>
        <w:t xml:space="preserve">(and confirmed by SRS) </w:t>
      </w:r>
      <w:r w:rsidR="008B76AF" w:rsidRPr="00AA7ACA">
        <w:rPr>
          <w:rFonts w:asciiTheme="minorHAnsi" w:hAnsiTheme="minorHAnsi" w:cstheme="minorHAnsi"/>
          <w:bCs/>
          <w:szCs w:val="24"/>
        </w:rPr>
        <w:t xml:space="preserve">will be eligible to participate if they have 25% of their salary allocated on the grant.  </w:t>
      </w:r>
      <w:r w:rsidR="008B76AF" w:rsidRPr="00AA7ACA">
        <w:rPr>
          <w:rFonts w:ascii="Calibri" w:hAnsi="Calibri" w:cs="Calibri"/>
          <w:sz w:val="22"/>
        </w:rPr>
        <w:t>In addition to this a PI must have at least 3 annual reviews in a row giving “excellent” evaluations</w:t>
      </w:r>
      <w:r w:rsidR="00B12A9D" w:rsidRPr="00AA7ACA">
        <w:rPr>
          <w:rFonts w:ascii="Calibri" w:hAnsi="Calibri" w:cs="Calibri"/>
          <w:sz w:val="22"/>
        </w:rPr>
        <w:t xml:space="preserve"> as described on page 1 of the Department Head Annual Evaluation form</w:t>
      </w:r>
      <w:r w:rsidR="001155DA" w:rsidRPr="00AA7ACA">
        <w:rPr>
          <w:rFonts w:ascii="Calibri" w:hAnsi="Calibri" w:cs="Calibri"/>
          <w:sz w:val="22"/>
        </w:rPr>
        <w:t>:</w:t>
      </w:r>
    </w:p>
    <w:tbl>
      <w:tblPr>
        <w:tblW w:w="10890" w:type="dxa"/>
        <w:tblInd w:w="18" w:type="dxa"/>
        <w:tblLayout w:type="fixed"/>
        <w:tblLook w:val="0000" w:firstRow="0" w:lastRow="0" w:firstColumn="0" w:lastColumn="0" w:noHBand="0" w:noVBand="0"/>
      </w:tblPr>
      <w:tblGrid>
        <w:gridCol w:w="2593"/>
        <w:gridCol w:w="8297"/>
      </w:tblGrid>
      <w:tr w:rsidR="001155DA" w:rsidRPr="00AA7ACA" w14:paraId="58A3DE79" w14:textId="77777777" w:rsidTr="004B73DD">
        <w:trPr>
          <w:trHeight w:val="171"/>
        </w:trPr>
        <w:tc>
          <w:tcPr>
            <w:tcW w:w="2340" w:type="dxa"/>
            <w:shd w:val="clear" w:color="auto" w:fill="auto"/>
            <w:vAlign w:val="center"/>
          </w:tcPr>
          <w:p w14:paraId="3B866214" w14:textId="77777777" w:rsidR="001155DA" w:rsidRPr="00AA7ACA" w:rsidRDefault="001155DA" w:rsidP="004B73DD">
            <w:pPr>
              <w:spacing w:line="360" w:lineRule="auto"/>
              <w:rPr>
                <w:rFonts w:asciiTheme="minorHAnsi" w:hAnsiTheme="minorHAnsi"/>
                <w:b/>
                <w:sz w:val="22"/>
              </w:rPr>
            </w:pPr>
            <w:r w:rsidRPr="00AA7ACA">
              <w:rPr>
                <w:rFonts w:asciiTheme="minorHAnsi" w:hAnsiTheme="minorHAnsi"/>
                <w:b/>
                <w:sz w:val="22"/>
              </w:rPr>
              <w:t>Excellent</w:t>
            </w:r>
          </w:p>
        </w:tc>
        <w:tc>
          <w:tcPr>
            <w:tcW w:w="7488" w:type="dxa"/>
            <w:shd w:val="clear" w:color="auto" w:fill="auto"/>
            <w:vAlign w:val="center"/>
          </w:tcPr>
          <w:p w14:paraId="2D6D640C" w14:textId="77777777" w:rsidR="001155DA" w:rsidRPr="00AA7ACA" w:rsidRDefault="001155DA" w:rsidP="004B73DD">
            <w:pPr>
              <w:spacing w:line="360" w:lineRule="auto"/>
              <w:rPr>
                <w:rFonts w:asciiTheme="minorHAnsi" w:hAnsiTheme="minorHAnsi"/>
                <w:sz w:val="22"/>
              </w:rPr>
            </w:pPr>
            <w:r w:rsidRPr="00AA7ACA">
              <w:rPr>
                <w:rFonts w:asciiTheme="minorHAnsi" w:hAnsiTheme="minorHAnsi"/>
                <w:sz w:val="22"/>
              </w:rPr>
              <w:t>Performance goes beyond requirements for the position.</w:t>
            </w:r>
          </w:p>
        </w:tc>
      </w:tr>
      <w:tr w:rsidR="001155DA" w:rsidRPr="00AA7ACA" w14:paraId="04960B94" w14:textId="77777777" w:rsidTr="004B73DD">
        <w:trPr>
          <w:trHeight w:val="216"/>
        </w:trPr>
        <w:tc>
          <w:tcPr>
            <w:tcW w:w="2340" w:type="dxa"/>
            <w:shd w:val="clear" w:color="auto" w:fill="auto"/>
            <w:vAlign w:val="center"/>
          </w:tcPr>
          <w:p w14:paraId="219AB80D" w14:textId="77777777" w:rsidR="001155DA" w:rsidRPr="00AA7ACA" w:rsidRDefault="001155DA" w:rsidP="004B73DD">
            <w:pPr>
              <w:spacing w:line="360" w:lineRule="auto"/>
              <w:rPr>
                <w:rFonts w:asciiTheme="minorHAnsi" w:hAnsiTheme="minorHAnsi"/>
                <w:b/>
                <w:sz w:val="22"/>
              </w:rPr>
            </w:pPr>
            <w:r w:rsidRPr="00AA7ACA">
              <w:rPr>
                <w:rFonts w:asciiTheme="minorHAnsi" w:hAnsiTheme="minorHAnsi"/>
                <w:b/>
                <w:sz w:val="22"/>
              </w:rPr>
              <w:t>Satisfactory</w:t>
            </w:r>
          </w:p>
        </w:tc>
        <w:tc>
          <w:tcPr>
            <w:tcW w:w="7488" w:type="dxa"/>
            <w:shd w:val="clear" w:color="auto" w:fill="auto"/>
            <w:vAlign w:val="center"/>
          </w:tcPr>
          <w:p w14:paraId="47939A5F" w14:textId="77777777" w:rsidR="001155DA" w:rsidRPr="00AA7ACA" w:rsidRDefault="001155DA" w:rsidP="004B73DD">
            <w:pPr>
              <w:spacing w:line="360" w:lineRule="auto"/>
              <w:rPr>
                <w:rFonts w:asciiTheme="minorHAnsi" w:hAnsiTheme="minorHAnsi"/>
                <w:sz w:val="22"/>
              </w:rPr>
            </w:pPr>
            <w:r w:rsidRPr="00AA7ACA">
              <w:rPr>
                <w:rFonts w:asciiTheme="minorHAnsi" w:hAnsiTheme="minorHAnsi"/>
                <w:sz w:val="22"/>
              </w:rPr>
              <w:t>Performance meets requirements for the position.</w:t>
            </w:r>
          </w:p>
        </w:tc>
      </w:tr>
      <w:tr w:rsidR="001155DA" w:rsidRPr="00AA7ACA" w14:paraId="4BA12E14" w14:textId="77777777" w:rsidTr="004B73DD">
        <w:trPr>
          <w:trHeight w:val="171"/>
        </w:trPr>
        <w:tc>
          <w:tcPr>
            <w:tcW w:w="2340" w:type="dxa"/>
            <w:shd w:val="clear" w:color="auto" w:fill="auto"/>
            <w:vAlign w:val="center"/>
          </w:tcPr>
          <w:p w14:paraId="0B46D0CF" w14:textId="77777777" w:rsidR="001155DA" w:rsidRPr="00AA7ACA" w:rsidRDefault="001155DA" w:rsidP="004B73DD">
            <w:pPr>
              <w:spacing w:line="360" w:lineRule="auto"/>
              <w:rPr>
                <w:rFonts w:asciiTheme="minorHAnsi" w:hAnsiTheme="minorHAnsi"/>
                <w:b/>
                <w:sz w:val="22"/>
              </w:rPr>
            </w:pPr>
            <w:r w:rsidRPr="00AA7ACA">
              <w:rPr>
                <w:rFonts w:asciiTheme="minorHAnsi" w:hAnsiTheme="minorHAnsi"/>
                <w:b/>
                <w:sz w:val="22"/>
              </w:rPr>
              <w:t>Needs Improvement</w:t>
            </w:r>
          </w:p>
        </w:tc>
        <w:tc>
          <w:tcPr>
            <w:tcW w:w="7488" w:type="dxa"/>
            <w:shd w:val="clear" w:color="auto" w:fill="auto"/>
            <w:vAlign w:val="center"/>
          </w:tcPr>
          <w:p w14:paraId="36C556D6" w14:textId="77777777" w:rsidR="001155DA" w:rsidRPr="00AA7ACA" w:rsidRDefault="001155DA" w:rsidP="004B73DD">
            <w:pPr>
              <w:spacing w:line="360" w:lineRule="auto"/>
              <w:rPr>
                <w:rFonts w:asciiTheme="minorHAnsi" w:hAnsiTheme="minorHAnsi"/>
                <w:sz w:val="22"/>
              </w:rPr>
            </w:pPr>
            <w:r w:rsidRPr="00AA7ACA">
              <w:rPr>
                <w:rFonts w:asciiTheme="minorHAnsi" w:hAnsiTheme="minorHAnsi"/>
                <w:sz w:val="22"/>
              </w:rPr>
              <w:t>Performance would be improved by minor adjustments.</w:t>
            </w:r>
          </w:p>
        </w:tc>
      </w:tr>
      <w:tr w:rsidR="001155DA" w:rsidRPr="00AA7ACA" w14:paraId="40813FAE" w14:textId="77777777" w:rsidTr="004B73DD">
        <w:trPr>
          <w:trHeight w:val="126"/>
        </w:trPr>
        <w:tc>
          <w:tcPr>
            <w:tcW w:w="2340" w:type="dxa"/>
            <w:shd w:val="clear" w:color="auto" w:fill="auto"/>
            <w:vAlign w:val="center"/>
          </w:tcPr>
          <w:p w14:paraId="0171830C" w14:textId="77777777" w:rsidR="001155DA" w:rsidRPr="00AA7ACA" w:rsidRDefault="001155DA" w:rsidP="004B73DD">
            <w:pPr>
              <w:spacing w:line="360" w:lineRule="auto"/>
              <w:rPr>
                <w:rFonts w:asciiTheme="minorHAnsi" w:hAnsiTheme="minorHAnsi"/>
                <w:b/>
                <w:sz w:val="22"/>
              </w:rPr>
            </w:pPr>
            <w:r w:rsidRPr="00AA7ACA">
              <w:rPr>
                <w:rFonts w:asciiTheme="minorHAnsi" w:hAnsiTheme="minorHAnsi"/>
                <w:b/>
                <w:sz w:val="22"/>
              </w:rPr>
              <w:t>Unsatisfactory</w:t>
            </w:r>
          </w:p>
        </w:tc>
        <w:tc>
          <w:tcPr>
            <w:tcW w:w="7488" w:type="dxa"/>
            <w:shd w:val="clear" w:color="auto" w:fill="auto"/>
            <w:vAlign w:val="center"/>
          </w:tcPr>
          <w:p w14:paraId="7ABD054C" w14:textId="77777777" w:rsidR="001155DA" w:rsidRPr="00AA7ACA" w:rsidRDefault="001155DA" w:rsidP="004B73DD">
            <w:pPr>
              <w:spacing w:line="360" w:lineRule="auto"/>
              <w:rPr>
                <w:rFonts w:asciiTheme="minorHAnsi" w:hAnsiTheme="minorHAnsi"/>
                <w:sz w:val="22"/>
              </w:rPr>
            </w:pPr>
            <w:r w:rsidRPr="00AA7ACA">
              <w:rPr>
                <w:rFonts w:asciiTheme="minorHAnsi" w:hAnsiTheme="minorHAnsi"/>
                <w:sz w:val="22"/>
              </w:rPr>
              <w:t>Performance does not meet requirements for the position.</w:t>
            </w:r>
          </w:p>
        </w:tc>
      </w:tr>
    </w:tbl>
    <w:p w14:paraId="5CAB7CA1" w14:textId="0D489583" w:rsidR="00AB70A5" w:rsidRPr="003D16F7" w:rsidRDefault="008B76AF" w:rsidP="003F4270">
      <w:pPr>
        <w:autoSpaceDE w:val="0"/>
        <w:autoSpaceDN w:val="0"/>
        <w:adjustRightInd w:val="0"/>
        <w:rPr>
          <w:rFonts w:asciiTheme="minorHAnsi" w:hAnsiTheme="minorHAnsi" w:cstheme="minorHAnsi"/>
          <w:bCs/>
          <w:szCs w:val="24"/>
        </w:rPr>
      </w:pPr>
      <w:r w:rsidRPr="00AA7ACA">
        <w:rPr>
          <w:rFonts w:ascii="Calibri" w:hAnsi="Calibri" w:cs="Calibri"/>
          <w:sz w:val="22"/>
        </w:rPr>
        <w:t xml:space="preserve">The latter is necessary as the department head must justify the 75:25 incentive as a merit </w:t>
      </w:r>
      <w:r w:rsidR="00AB70A5" w:rsidRPr="00AA7ACA">
        <w:rPr>
          <w:rFonts w:ascii="Calibri" w:hAnsi="Calibri" w:cs="Calibri"/>
          <w:sz w:val="22"/>
        </w:rPr>
        <w:t>adjustment</w:t>
      </w:r>
      <w:r w:rsidRPr="00AA7ACA">
        <w:rPr>
          <w:rFonts w:ascii="Calibri" w:hAnsi="Calibri" w:cs="Calibri"/>
          <w:sz w:val="22"/>
        </w:rPr>
        <w:t xml:space="preserve"> and cannot do that if the annual evaluations do not show meritorious activity.</w:t>
      </w:r>
      <w:r w:rsidR="00AB70A5" w:rsidRPr="00AA7ACA">
        <w:rPr>
          <w:rFonts w:ascii="Calibri" w:hAnsi="Calibri" w:cs="Calibri"/>
          <w:sz w:val="22"/>
        </w:rPr>
        <w:t xml:space="preserve">  After review by the Dean and the Dean of Faculties, the Provost makes a final determination if the 75:25 adjustment is approved.</w:t>
      </w:r>
      <w:r w:rsidR="00AB70A5">
        <w:rPr>
          <w:rFonts w:ascii="Calibri" w:hAnsi="Calibri" w:cs="Calibri"/>
          <w:sz w:val="22"/>
        </w:rPr>
        <w:t xml:space="preserve"> </w:t>
      </w:r>
    </w:p>
    <w:p w14:paraId="16E5439B" w14:textId="77777777" w:rsidR="003D16F7" w:rsidRDefault="003D16F7" w:rsidP="003F4270">
      <w:pPr>
        <w:autoSpaceDE w:val="0"/>
        <w:autoSpaceDN w:val="0"/>
        <w:adjustRightInd w:val="0"/>
        <w:rPr>
          <w:rFonts w:asciiTheme="minorHAnsi" w:hAnsiTheme="minorHAnsi" w:cstheme="minorHAnsi"/>
          <w:b/>
          <w:szCs w:val="24"/>
        </w:rPr>
      </w:pPr>
    </w:p>
    <w:p w14:paraId="186FD4B9" w14:textId="7190235D" w:rsidR="003F4270" w:rsidRPr="00900859" w:rsidRDefault="003D16F7" w:rsidP="003F4270">
      <w:pPr>
        <w:autoSpaceDE w:val="0"/>
        <w:autoSpaceDN w:val="0"/>
        <w:adjustRightInd w:val="0"/>
        <w:rPr>
          <w:rFonts w:asciiTheme="minorHAnsi" w:hAnsiTheme="minorHAnsi" w:cstheme="minorHAnsi"/>
          <w:b/>
          <w:szCs w:val="24"/>
        </w:rPr>
      </w:pPr>
      <w:r>
        <w:rPr>
          <w:rFonts w:asciiTheme="minorHAnsi" w:hAnsiTheme="minorHAnsi" w:cstheme="minorHAnsi"/>
          <w:b/>
          <w:szCs w:val="24"/>
        </w:rPr>
        <w:t xml:space="preserve">Article </w:t>
      </w:r>
      <w:r w:rsidR="00AA7ACA">
        <w:rPr>
          <w:rFonts w:asciiTheme="minorHAnsi" w:hAnsiTheme="minorHAnsi" w:cstheme="minorHAnsi"/>
          <w:b/>
          <w:szCs w:val="24"/>
        </w:rPr>
        <w:t>5</w:t>
      </w:r>
      <w:r>
        <w:rPr>
          <w:rFonts w:asciiTheme="minorHAnsi" w:hAnsiTheme="minorHAnsi" w:cstheme="minorHAnsi"/>
          <w:b/>
          <w:szCs w:val="24"/>
        </w:rPr>
        <w:t xml:space="preserve"> - A</w:t>
      </w:r>
      <w:r w:rsidR="003F4270" w:rsidRPr="00900859">
        <w:rPr>
          <w:rFonts w:asciiTheme="minorHAnsi" w:hAnsiTheme="minorHAnsi" w:cstheme="minorHAnsi"/>
          <w:b/>
          <w:szCs w:val="24"/>
        </w:rPr>
        <w:t>nnual Review of Faculty</w:t>
      </w:r>
    </w:p>
    <w:p w14:paraId="64101CAB" w14:textId="77777777" w:rsidR="003F4270" w:rsidRPr="00900859" w:rsidRDefault="003F4270" w:rsidP="003F4270">
      <w:pPr>
        <w:autoSpaceDE w:val="0"/>
        <w:autoSpaceDN w:val="0"/>
        <w:adjustRightInd w:val="0"/>
        <w:rPr>
          <w:rFonts w:asciiTheme="minorHAnsi" w:hAnsiTheme="minorHAnsi" w:cstheme="minorHAnsi"/>
          <w:b/>
          <w:szCs w:val="24"/>
        </w:rPr>
      </w:pPr>
    </w:p>
    <w:p w14:paraId="0D8FA79B" w14:textId="0BE1E6F1" w:rsidR="003F4270" w:rsidRPr="00900859" w:rsidRDefault="003F4270" w:rsidP="003F4270">
      <w:pPr>
        <w:autoSpaceDE w:val="0"/>
        <w:autoSpaceDN w:val="0"/>
        <w:adjustRightInd w:val="0"/>
        <w:rPr>
          <w:rFonts w:asciiTheme="minorHAnsi" w:hAnsiTheme="minorHAnsi" w:cstheme="minorHAnsi"/>
          <w:sz w:val="22"/>
        </w:rPr>
      </w:pPr>
      <w:r w:rsidRPr="00900859">
        <w:rPr>
          <w:rFonts w:asciiTheme="minorHAnsi" w:hAnsiTheme="minorHAnsi" w:cstheme="minorHAnsi"/>
          <w:szCs w:val="24"/>
        </w:rPr>
        <w:t>This SOP outli</w:t>
      </w:r>
      <w:r w:rsidRPr="00900859">
        <w:rPr>
          <w:rFonts w:asciiTheme="minorHAnsi" w:hAnsiTheme="minorHAnsi" w:cstheme="minorHAnsi"/>
          <w:sz w:val="22"/>
        </w:rPr>
        <w:t xml:space="preserve">nes the process used </w:t>
      </w:r>
      <w:r w:rsidR="00E4011F">
        <w:rPr>
          <w:rFonts w:asciiTheme="minorHAnsi" w:hAnsiTheme="minorHAnsi" w:cstheme="minorHAnsi"/>
          <w:sz w:val="22"/>
        </w:rPr>
        <w:t xml:space="preserve">in BMS </w:t>
      </w:r>
      <w:r w:rsidRPr="00900859">
        <w:rPr>
          <w:rFonts w:asciiTheme="minorHAnsi" w:hAnsiTheme="minorHAnsi" w:cstheme="minorHAnsi"/>
          <w:sz w:val="22"/>
        </w:rPr>
        <w:t>for annual review of the faculty</w:t>
      </w:r>
      <w:r w:rsidR="00E4011F">
        <w:rPr>
          <w:rFonts w:asciiTheme="minorHAnsi" w:hAnsiTheme="minorHAnsi" w:cstheme="minorHAnsi"/>
          <w:sz w:val="22"/>
        </w:rPr>
        <w:t>.</w:t>
      </w:r>
    </w:p>
    <w:p w14:paraId="35604C6F" w14:textId="46D2518F" w:rsidR="002D77F4" w:rsidRPr="003F4270" w:rsidRDefault="002D77F4">
      <w:pPr>
        <w:rPr>
          <w:rFonts w:ascii="Calibri" w:hAnsi="Calibri"/>
          <w:bCs/>
        </w:rPr>
      </w:pPr>
    </w:p>
    <w:p w14:paraId="59F0C4F2" w14:textId="4A07A0B1" w:rsidR="002D77F4" w:rsidRDefault="00E4011F">
      <w:pPr>
        <w:rPr>
          <w:rFonts w:ascii="Calibri" w:hAnsi="Calibri"/>
        </w:rPr>
      </w:pPr>
      <w:r>
        <w:rPr>
          <w:rFonts w:ascii="Calibri" w:hAnsi="Calibri"/>
        </w:rPr>
        <w:t>The annual review process is initiated from the Office of the Associate Dean for Academic Affairs.  A standard Self-Evaluation form provided by the OADAA is used.  All BMS faculty follow the guidelines of the OADAA for completing their self-evaluation forms and returning them to the Department head by the OADAA deadline.</w:t>
      </w:r>
    </w:p>
    <w:p w14:paraId="21AC8A09" w14:textId="73383CAE" w:rsidR="00E4011F" w:rsidRDefault="00E4011F">
      <w:pPr>
        <w:rPr>
          <w:rFonts w:ascii="Calibri" w:hAnsi="Calibri"/>
        </w:rPr>
      </w:pPr>
    </w:p>
    <w:p w14:paraId="4F7CCF01" w14:textId="47B9BBE3" w:rsidR="00E4011F" w:rsidRDefault="00E4011F">
      <w:pPr>
        <w:rPr>
          <w:rFonts w:ascii="Calibri" w:hAnsi="Calibri"/>
        </w:rPr>
      </w:pPr>
      <w:r>
        <w:rPr>
          <w:rFonts w:ascii="Calibri" w:hAnsi="Calibri"/>
        </w:rPr>
        <w:t>The BMS Department Head completes an evaluation of all paid faculty members in the department using the evaluation form provided by the OADAA.  On completion of the evaluations the BMS Department Head arranges private face-to-face appointments (in person or via zoom) with all evaluated faculty.</w:t>
      </w:r>
    </w:p>
    <w:p w14:paraId="3B69D2ED" w14:textId="65CD914E" w:rsidR="00E4011F" w:rsidRDefault="00E4011F">
      <w:pPr>
        <w:rPr>
          <w:rFonts w:ascii="Calibri" w:hAnsi="Calibri"/>
        </w:rPr>
      </w:pPr>
    </w:p>
    <w:p w14:paraId="1A4C5AEB" w14:textId="02CC1BA2" w:rsidR="00E4011F" w:rsidRDefault="00E4011F">
      <w:pPr>
        <w:rPr>
          <w:rFonts w:ascii="Calibri" w:hAnsi="Calibri"/>
        </w:rPr>
      </w:pPr>
      <w:r>
        <w:rPr>
          <w:rFonts w:ascii="Calibri" w:hAnsi="Calibri"/>
        </w:rPr>
        <w:lastRenderedPageBreak/>
        <w:t>Modifications to the satisfaction of both parties are made to the self-evaluation forms and the Department Head evaluation forms based on the discussions at the arranged meetings, prior to final signing of the documents.</w:t>
      </w:r>
    </w:p>
    <w:p w14:paraId="6B4CD850" w14:textId="7E135352" w:rsidR="007F7A72" w:rsidRDefault="007F7A72">
      <w:pPr>
        <w:rPr>
          <w:rFonts w:ascii="Calibri" w:hAnsi="Calibri"/>
        </w:rPr>
      </w:pPr>
    </w:p>
    <w:p w14:paraId="2E56C292" w14:textId="239D937D" w:rsidR="00E4011F" w:rsidRPr="00E4011F" w:rsidRDefault="002D77F4" w:rsidP="00E4011F">
      <w:pPr>
        <w:autoSpaceDE w:val="0"/>
        <w:autoSpaceDN w:val="0"/>
        <w:adjustRightInd w:val="0"/>
        <w:rPr>
          <w:rFonts w:asciiTheme="minorHAnsi" w:hAnsiTheme="minorHAnsi" w:cstheme="minorHAnsi"/>
          <w:b/>
          <w:szCs w:val="24"/>
        </w:rPr>
      </w:pPr>
      <w:r w:rsidRPr="00B351A5">
        <w:rPr>
          <w:rFonts w:ascii="Calibri" w:hAnsi="Calibri"/>
          <w:b/>
        </w:rPr>
        <w:t xml:space="preserve">Article </w:t>
      </w:r>
      <w:r w:rsidR="00AA7ACA">
        <w:rPr>
          <w:rFonts w:ascii="Calibri" w:hAnsi="Calibri"/>
          <w:b/>
        </w:rPr>
        <w:t>6</w:t>
      </w:r>
      <w:r w:rsidRPr="00B351A5">
        <w:rPr>
          <w:rFonts w:ascii="Calibri" w:hAnsi="Calibri"/>
          <w:b/>
        </w:rPr>
        <w:t xml:space="preserve"> – </w:t>
      </w:r>
      <w:r w:rsidR="00E4011F" w:rsidRPr="00E4011F">
        <w:rPr>
          <w:rFonts w:ascii="Calibri" w:hAnsi="Calibri"/>
          <w:b/>
          <w:szCs w:val="24"/>
        </w:rPr>
        <w:t>Departmental Process for making d</w:t>
      </w:r>
      <w:r w:rsidR="00E4011F" w:rsidRPr="00E4011F">
        <w:rPr>
          <w:rFonts w:asciiTheme="minorHAnsi" w:hAnsiTheme="minorHAnsi" w:cstheme="minorHAnsi"/>
          <w:b/>
          <w:szCs w:val="24"/>
        </w:rPr>
        <w:t>ecisions on the timing of faculty promotion and/or tenure</w:t>
      </w:r>
    </w:p>
    <w:p w14:paraId="4A17008D" w14:textId="77777777" w:rsidR="00E4011F" w:rsidRDefault="00E4011F" w:rsidP="00E4011F">
      <w:pPr>
        <w:autoSpaceDE w:val="0"/>
        <w:autoSpaceDN w:val="0"/>
        <w:adjustRightInd w:val="0"/>
        <w:rPr>
          <w:rFonts w:asciiTheme="minorHAnsi" w:hAnsiTheme="minorHAnsi" w:cstheme="minorHAnsi"/>
          <w:sz w:val="22"/>
        </w:rPr>
      </w:pPr>
    </w:p>
    <w:p w14:paraId="72CA00E1" w14:textId="5143902E" w:rsidR="00E4011F" w:rsidRDefault="00E4011F" w:rsidP="00E4011F">
      <w:pPr>
        <w:autoSpaceDE w:val="0"/>
        <w:autoSpaceDN w:val="0"/>
        <w:adjustRightInd w:val="0"/>
        <w:rPr>
          <w:rFonts w:asciiTheme="minorHAnsi" w:hAnsiTheme="minorHAnsi" w:cstheme="minorHAnsi"/>
          <w:sz w:val="22"/>
        </w:rPr>
      </w:pPr>
      <w:r>
        <w:rPr>
          <w:rFonts w:asciiTheme="minorHAnsi" w:hAnsiTheme="minorHAnsi" w:cstheme="minorHAnsi"/>
          <w:sz w:val="22"/>
        </w:rPr>
        <w:t>Every year during the annual evaluation meeting, the Department Head and faculty member</w:t>
      </w:r>
      <w:r w:rsidR="007F7A72">
        <w:rPr>
          <w:rFonts w:asciiTheme="minorHAnsi" w:hAnsiTheme="minorHAnsi" w:cstheme="minorHAnsi"/>
          <w:sz w:val="22"/>
        </w:rPr>
        <w:t>s</w:t>
      </w:r>
      <w:r>
        <w:rPr>
          <w:rFonts w:asciiTheme="minorHAnsi" w:hAnsiTheme="minorHAnsi" w:cstheme="minorHAnsi"/>
          <w:sz w:val="22"/>
        </w:rPr>
        <w:t xml:space="preserve"> discuss progress towards promotion and/or tenure</w:t>
      </w:r>
      <w:r w:rsidRPr="00900859">
        <w:rPr>
          <w:rFonts w:asciiTheme="minorHAnsi" w:hAnsiTheme="minorHAnsi" w:cstheme="minorHAnsi"/>
          <w:sz w:val="22"/>
        </w:rPr>
        <w:t xml:space="preserve"> independent of the tenure clock for individual faculty members.</w:t>
      </w:r>
      <w:r w:rsidR="007F7A72">
        <w:rPr>
          <w:rFonts w:asciiTheme="minorHAnsi" w:hAnsiTheme="minorHAnsi" w:cstheme="minorHAnsi"/>
          <w:sz w:val="22"/>
        </w:rPr>
        <w:t xml:space="preserve">  Discussions with tenured faculty revolve around issues that might preclude a successful post-tenure review.</w:t>
      </w:r>
    </w:p>
    <w:p w14:paraId="1CE6681F" w14:textId="4E3525C2" w:rsidR="00142A2E" w:rsidRDefault="00142A2E" w:rsidP="00E4011F">
      <w:pPr>
        <w:autoSpaceDE w:val="0"/>
        <w:autoSpaceDN w:val="0"/>
        <w:adjustRightInd w:val="0"/>
        <w:rPr>
          <w:rFonts w:asciiTheme="minorHAnsi" w:hAnsiTheme="minorHAnsi" w:cstheme="minorHAnsi"/>
          <w:sz w:val="22"/>
        </w:rPr>
      </w:pPr>
    </w:p>
    <w:p w14:paraId="04C0647D" w14:textId="27FF28C7" w:rsidR="002D77F4" w:rsidRPr="00B351A5" w:rsidRDefault="00142A2E" w:rsidP="007F7A72">
      <w:pPr>
        <w:autoSpaceDE w:val="0"/>
        <w:autoSpaceDN w:val="0"/>
        <w:adjustRightInd w:val="0"/>
        <w:rPr>
          <w:rFonts w:ascii="Calibri" w:hAnsi="Calibri"/>
          <w:b/>
        </w:rPr>
      </w:pPr>
      <w:r>
        <w:rPr>
          <w:rFonts w:asciiTheme="minorHAnsi" w:hAnsiTheme="minorHAnsi" w:cstheme="minorHAnsi"/>
          <w:sz w:val="22"/>
        </w:rPr>
        <w:t xml:space="preserve">Specific goals are agreed to that </w:t>
      </w:r>
      <w:r w:rsidR="007F7A72">
        <w:rPr>
          <w:rFonts w:asciiTheme="minorHAnsi" w:hAnsiTheme="minorHAnsi" w:cstheme="minorHAnsi"/>
          <w:sz w:val="22"/>
        </w:rPr>
        <w:t>are revisited at the next annual review.  Discussions are had about what requirements still need to be met before a voluntary request for promotion will be supported.</w:t>
      </w:r>
    </w:p>
    <w:p w14:paraId="426BAACF" w14:textId="77777777" w:rsidR="006B061B" w:rsidRPr="00B351A5" w:rsidRDefault="006B061B">
      <w:pPr>
        <w:rPr>
          <w:rFonts w:ascii="Calibri" w:hAnsi="Calibri"/>
        </w:rPr>
      </w:pPr>
    </w:p>
    <w:p w14:paraId="37848FBB" w14:textId="1B18C106" w:rsidR="002D77F4" w:rsidRPr="00B351A5" w:rsidRDefault="002D77F4">
      <w:pPr>
        <w:rPr>
          <w:rFonts w:ascii="Calibri" w:hAnsi="Calibri"/>
          <w:b/>
        </w:rPr>
      </w:pPr>
      <w:r w:rsidRPr="00B351A5">
        <w:rPr>
          <w:rFonts w:ascii="Calibri" w:hAnsi="Calibri"/>
          <w:b/>
        </w:rPr>
        <w:t xml:space="preserve">Article </w:t>
      </w:r>
      <w:r w:rsidR="00AA7ACA">
        <w:rPr>
          <w:rFonts w:ascii="Calibri" w:hAnsi="Calibri"/>
          <w:b/>
        </w:rPr>
        <w:t>7</w:t>
      </w:r>
      <w:bookmarkStart w:id="0" w:name="_GoBack"/>
      <w:bookmarkEnd w:id="0"/>
      <w:r w:rsidRPr="00B351A5">
        <w:rPr>
          <w:rFonts w:ascii="Calibri" w:hAnsi="Calibri"/>
          <w:b/>
        </w:rPr>
        <w:t xml:space="preserve"> – Amendment Procedures</w:t>
      </w:r>
    </w:p>
    <w:p w14:paraId="738ACC2D" w14:textId="77777777" w:rsidR="002D77F4" w:rsidRPr="00B351A5" w:rsidRDefault="002D77F4">
      <w:pPr>
        <w:rPr>
          <w:rFonts w:ascii="Calibri" w:hAnsi="Calibri"/>
        </w:rPr>
      </w:pPr>
    </w:p>
    <w:p w14:paraId="2EC7D2FC" w14:textId="44A9CE64" w:rsidR="002D77F4" w:rsidRPr="00B351A5" w:rsidRDefault="002D77F4">
      <w:pPr>
        <w:rPr>
          <w:rFonts w:ascii="Calibri" w:hAnsi="Calibri"/>
        </w:rPr>
      </w:pPr>
      <w:r w:rsidRPr="00B351A5">
        <w:rPr>
          <w:rFonts w:ascii="Calibri" w:hAnsi="Calibri"/>
        </w:rPr>
        <w:t xml:space="preserve">Any articles of these operating procedures may be added, deleted, or amended by a majority vote of </w:t>
      </w:r>
      <w:r w:rsidR="007F7A72">
        <w:rPr>
          <w:rFonts w:ascii="Calibri" w:hAnsi="Calibri"/>
        </w:rPr>
        <w:t>the paid faculty of the Department of Biomedical Sciences</w:t>
      </w:r>
      <w:r w:rsidRPr="00B351A5">
        <w:rPr>
          <w:rFonts w:ascii="Calibri" w:hAnsi="Calibri"/>
        </w:rPr>
        <w:t xml:space="preserve"> and recommended for approval by the </w:t>
      </w:r>
      <w:r w:rsidR="007F7A72">
        <w:rPr>
          <w:rFonts w:ascii="Calibri" w:hAnsi="Calibri"/>
        </w:rPr>
        <w:t>Department Head</w:t>
      </w:r>
      <w:r w:rsidRPr="00B351A5">
        <w:rPr>
          <w:rFonts w:ascii="Calibri" w:hAnsi="Calibri"/>
        </w:rPr>
        <w:t>.</w:t>
      </w:r>
    </w:p>
    <w:sectPr w:rsidR="002D77F4" w:rsidRPr="00B351A5" w:rsidSect="006554DB">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F5E87" w14:textId="77777777" w:rsidR="00EF6E5A" w:rsidRDefault="00EF6E5A" w:rsidP="002D77F4">
      <w:r>
        <w:separator/>
      </w:r>
    </w:p>
  </w:endnote>
  <w:endnote w:type="continuationSeparator" w:id="0">
    <w:p w14:paraId="4FCCF4A3" w14:textId="77777777" w:rsidR="00EF6E5A" w:rsidRDefault="00EF6E5A" w:rsidP="002D7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F1D5F" w14:textId="77777777" w:rsidR="006B061B" w:rsidRDefault="006B0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AF793" w14:textId="77777777" w:rsidR="00D12FF5" w:rsidRPr="00135868" w:rsidRDefault="00D12FF5">
    <w:pPr>
      <w:pStyle w:val="Footer"/>
      <w:jc w:val="right"/>
      <w:rPr>
        <w:rFonts w:ascii="Garamond" w:hAnsi="Garamond"/>
      </w:rPr>
    </w:pPr>
    <w:r w:rsidRPr="00135868">
      <w:rPr>
        <w:rFonts w:ascii="Garamond" w:hAnsi="Garamond"/>
      </w:rPr>
      <w:t xml:space="preserve">Page | </w:t>
    </w:r>
    <w:r>
      <w:fldChar w:fldCharType="begin"/>
    </w:r>
    <w:r>
      <w:instrText xml:space="preserve"> PAGE   \* MERGEFORMAT </w:instrText>
    </w:r>
    <w:r>
      <w:fldChar w:fldCharType="separate"/>
    </w:r>
    <w:r w:rsidR="001D6D6C" w:rsidRPr="001D6D6C">
      <w:rPr>
        <w:rFonts w:ascii="Garamond" w:hAnsi="Garamond"/>
        <w:noProof/>
      </w:rPr>
      <w:t>3</w:t>
    </w:r>
    <w:r>
      <w:fldChar w:fldCharType="end"/>
    </w:r>
    <w:r w:rsidRPr="00135868">
      <w:rPr>
        <w:rFonts w:ascii="Garamond" w:hAnsi="Garamond"/>
      </w:rPr>
      <w:t xml:space="preserve"> </w:t>
    </w:r>
  </w:p>
  <w:p w14:paraId="5888B69D" w14:textId="77777777" w:rsidR="00D12FF5" w:rsidRDefault="00D12F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D4167" w14:textId="77777777" w:rsidR="006B061B" w:rsidRDefault="006B0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C7060" w14:textId="77777777" w:rsidR="00EF6E5A" w:rsidRDefault="00EF6E5A" w:rsidP="002D77F4">
      <w:r>
        <w:separator/>
      </w:r>
    </w:p>
  </w:footnote>
  <w:footnote w:type="continuationSeparator" w:id="0">
    <w:p w14:paraId="7E1D9BC6" w14:textId="77777777" w:rsidR="00EF6E5A" w:rsidRDefault="00EF6E5A" w:rsidP="002D7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BBB07" w14:textId="77777777" w:rsidR="006B061B" w:rsidRDefault="006B06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C7250" w14:textId="40A1C2DD" w:rsidR="006B061B" w:rsidRDefault="006B06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778F1" w14:textId="77777777" w:rsidR="006B061B" w:rsidRDefault="006B0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01552"/>
    <w:multiLevelType w:val="hybridMultilevel"/>
    <w:tmpl w:val="34AAC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E9192C"/>
    <w:multiLevelType w:val="hybridMultilevel"/>
    <w:tmpl w:val="4A6ECDF6"/>
    <w:lvl w:ilvl="0" w:tplc="88A2F2EA">
      <w:start w:val="1"/>
      <w:numFmt w:val="decimal"/>
      <w:lvlText w:val="%1."/>
      <w:lvlJc w:val="left"/>
      <w:pPr>
        <w:tabs>
          <w:tab w:val="num" w:pos="720"/>
        </w:tabs>
        <w:ind w:left="720" w:hanging="360"/>
      </w:pPr>
      <w:rPr>
        <w:rFonts w:hint="default"/>
        <w:color w:val="00000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20E77D74"/>
    <w:multiLevelType w:val="hybridMultilevel"/>
    <w:tmpl w:val="3662C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1617D9"/>
    <w:multiLevelType w:val="hybridMultilevel"/>
    <w:tmpl w:val="CE84500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A132AD"/>
    <w:multiLevelType w:val="hybridMultilevel"/>
    <w:tmpl w:val="B82E5C5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C97BCC"/>
    <w:multiLevelType w:val="hybridMultilevel"/>
    <w:tmpl w:val="12D02EB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DE1BB4"/>
    <w:multiLevelType w:val="hybridMultilevel"/>
    <w:tmpl w:val="D2E4F8CC"/>
    <w:lvl w:ilvl="0" w:tplc="DCE414AE">
      <w:start w:val="1"/>
      <w:numFmt w:val="decimal"/>
      <w:lvlText w:val="%1)"/>
      <w:lvlJc w:val="left"/>
      <w:pPr>
        <w:tabs>
          <w:tab w:val="num" w:pos="1440"/>
        </w:tabs>
        <w:ind w:left="1440" w:hanging="720"/>
      </w:pPr>
      <w:rPr>
        <w:rFonts w:hint="default"/>
      </w:rPr>
    </w:lvl>
    <w:lvl w:ilvl="1" w:tplc="2BA23C14">
      <w:start w:val="1"/>
      <w:numFmt w:val="lowerLetter"/>
      <w:lvlText w:val="%2)"/>
      <w:lvlJc w:val="left"/>
      <w:pPr>
        <w:tabs>
          <w:tab w:val="num" w:pos="2160"/>
        </w:tabs>
        <w:ind w:left="2160" w:hanging="720"/>
      </w:pPr>
      <w:rPr>
        <w:rFonts w:hint="default"/>
      </w:r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7" w15:restartNumberingAfterBreak="0">
    <w:nsid w:val="3E0341E8"/>
    <w:multiLevelType w:val="hybridMultilevel"/>
    <w:tmpl w:val="23DE6524"/>
    <w:lvl w:ilvl="0" w:tplc="04090001">
      <w:start w:val="1"/>
      <w:numFmt w:val="bullet"/>
      <w:lvlText w:val=""/>
      <w:lvlJc w:val="left"/>
      <w:pPr>
        <w:ind w:left="720" w:hanging="360"/>
      </w:pPr>
      <w:rPr>
        <w:rFonts w:ascii="Symbol" w:hAnsi="Symbol" w:hint="default"/>
      </w:rPr>
    </w:lvl>
    <w:lvl w:ilvl="1" w:tplc="D99813A4">
      <w:start w:val="1"/>
      <w:numFmt w:val="bullet"/>
      <w:lvlText w:val="-"/>
      <w:lvlJc w:val="left"/>
      <w:pPr>
        <w:ind w:left="1440" w:hanging="360"/>
      </w:pPr>
      <w:rPr>
        <w:rFonts w:ascii="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7E0F8B"/>
    <w:multiLevelType w:val="multilevel"/>
    <w:tmpl w:val="5A2CE31E"/>
    <w:lvl w:ilvl="0">
      <w:start w:val="3"/>
      <w:numFmt w:val="decimal"/>
      <w:lvlText w:val="%1."/>
      <w:lvlJc w:val="left"/>
      <w:pPr>
        <w:tabs>
          <w:tab w:val="num" w:pos="720"/>
        </w:tabs>
        <w:ind w:left="720" w:hanging="360"/>
      </w:pPr>
      <w:rPr>
        <w:b/>
      </w:rPr>
    </w:lvl>
    <w:lvl w:ilvl="1">
      <w:start w:val="1"/>
      <w:numFmt w:val="decimal"/>
      <w:lvlText w:val="%1.%2."/>
      <w:lvlJc w:val="left"/>
      <w:pPr>
        <w:tabs>
          <w:tab w:val="num" w:pos="1152"/>
        </w:tabs>
        <w:ind w:left="1152" w:hanging="432"/>
      </w:pPr>
    </w:lvl>
    <w:lvl w:ilvl="2">
      <w:start w:val="1"/>
      <w:numFmt w:val="bullet"/>
      <w:lvlText w:val=""/>
      <w:lvlJc w:val="left"/>
      <w:pPr>
        <w:tabs>
          <w:tab w:val="num" w:pos="1800"/>
        </w:tabs>
        <w:ind w:left="1584" w:hanging="504"/>
      </w:pPr>
      <w:rPr>
        <w:rFonts w:ascii="Symbol" w:hAnsi="Symbol" w:hint="default"/>
      </w:r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9" w15:restartNumberingAfterBreak="0">
    <w:nsid w:val="4DD06D3B"/>
    <w:multiLevelType w:val="hybridMultilevel"/>
    <w:tmpl w:val="8A869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7E5FE4"/>
    <w:multiLevelType w:val="hybridMultilevel"/>
    <w:tmpl w:val="0E145746"/>
    <w:lvl w:ilvl="0" w:tplc="04090001">
      <w:start w:val="1"/>
      <w:numFmt w:val="bullet"/>
      <w:lvlText w:val=""/>
      <w:lvlJc w:val="left"/>
      <w:pPr>
        <w:tabs>
          <w:tab w:val="num" w:pos="720"/>
        </w:tabs>
        <w:ind w:left="720" w:hanging="360"/>
      </w:pPr>
      <w:rPr>
        <w:rFonts w:ascii="Symbol" w:hAnsi="Symbol" w:hint="default"/>
      </w:rPr>
    </w:lvl>
    <w:lvl w:ilvl="1" w:tplc="3F6C972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9"/>
  </w:num>
  <w:num w:numId="4">
    <w:abstractNumId w:val="0"/>
  </w:num>
  <w:num w:numId="5">
    <w:abstractNumId w:val="10"/>
  </w:num>
  <w:num w:numId="6">
    <w:abstractNumId w:val="3"/>
  </w:num>
  <w:num w:numId="7">
    <w:abstractNumId w:val="1"/>
  </w:num>
  <w:num w:numId="8">
    <w:abstractNumId w:val="4"/>
  </w:num>
  <w:num w:numId="9">
    <w:abstractNumId w:val="5"/>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B23"/>
    <w:rsid w:val="000F311D"/>
    <w:rsid w:val="001155DA"/>
    <w:rsid w:val="00142A2E"/>
    <w:rsid w:val="00184130"/>
    <w:rsid w:val="001A5F36"/>
    <w:rsid w:val="001C7C56"/>
    <w:rsid w:val="001D6D6C"/>
    <w:rsid w:val="002A0D31"/>
    <w:rsid w:val="002B6224"/>
    <w:rsid w:val="002D77F4"/>
    <w:rsid w:val="00346A43"/>
    <w:rsid w:val="003661A0"/>
    <w:rsid w:val="00377810"/>
    <w:rsid w:val="003C7296"/>
    <w:rsid w:val="003D16F7"/>
    <w:rsid w:val="003F4270"/>
    <w:rsid w:val="0042469B"/>
    <w:rsid w:val="004E039F"/>
    <w:rsid w:val="004E1391"/>
    <w:rsid w:val="004F2DC8"/>
    <w:rsid w:val="00545B23"/>
    <w:rsid w:val="005D0460"/>
    <w:rsid w:val="006165D2"/>
    <w:rsid w:val="00627169"/>
    <w:rsid w:val="00650E0B"/>
    <w:rsid w:val="006535FA"/>
    <w:rsid w:val="006554DB"/>
    <w:rsid w:val="006560DD"/>
    <w:rsid w:val="0067092F"/>
    <w:rsid w:val="006B061B"/>
    <w:rsid w:val="006C2E0C"/>
    <w:rsid w:val="006D6384"/>
    <w:rsid w:val="006E31A7"/>
    <w:rsid w:val="006F3040"/>
    <w:rsid w:val="007229B9"/>
    <w:rsid w:val="00757BD9"/>
    <w:rsid w:val="007F7A72"/>
    <w:rsid w:val="00870C88"/>
    <w:rsid w:val="008B76AF"/>
    <w:rsid w:val="008E5CAC"/>
    <w:rsid w:val="00900859"/>
    <w:rsid w:val="00903D6B"/>
    <w:rsid w:val="00911CC8"/>
    <w:rsid w:val="00981DDF"/>
    <w:rsid w:val="009B00B0"/>
    <w:rsid w:val="00A02CF0"/>
    <w:rsid w:val="00AA3EA9"/>
    <w:rsid w:val="00AA7ACA"/>
    <w:rsid w:val="00AB70A5"/>
    <w:rsid w:val="00AF2085"/>
    <w:rsid w:val="00B12A9D"/>
    <w:rsid w:val="00B627A8"/>
    <w:rsid w:val="00B84F5C"/>
    <w:rsid w:val="00C122E2"/>
    <w:rsid w:val="00CC0E9B"/>
    <w:rsid w:val="00D12FF5"/>
    <w:rsid w:val="00DA3DCA"/>
    <w:rsid w:val="00E05513"/>
    <w:rsid w:val="00E069C1"/>
    <w:rsid w:val="00E4011F"/>
    <w:rsid w:val="00E86D88"/>
    <w:rsid w:val="00E97493"/>
    <w:rsid w:val="00EF6E5A"/>
    <w:rsid w:val="00F23FFB"/>
    <w:rsid w:val="00F6731D"/>
    <w:rsid w:val="00FB441B"/>
    <w:rsid w:val="00FB61A8"/>
    <w:rsid w:val="00FD5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696710"/>
  <w14:defaultImageDpi w14:val="300"/>
  <w15:docId w15:val="{D5CBE03E-1A09-4073-A897-F67AC7BD9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68F"/>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4068F"/>
    <w:pPr>
      <w:tabs>
        <w:tab w:val="center" w:pos="4680"/>
        <w:tab w:val="right" w:pos="9360"/>
      </w:tabs>
    </w:pPr>
  </w:style>
  <w:style w:type="character" w:customStyle="1" w:styleId="HeaderChar">
    <w:name w:val="Header Char"/>
    <w:link w:val="Header"/>
    <w:uiPriority w:val="99"/>
    <w:semiHidden/>
    <w:rsid w:val="0054068F"/>
    <w:rPr>
      <w:rFonts w:cs="Times New Roman"/>
      <w:sz w:val="22"/>
    </w:rPr>
  </w:style>
  <w:style w:type="paragraph" w:styleId="Footer">
    <w:name w:val="footer"/>
    <w:basedOn w:val="Normal"/>
    <w:link w:val="FooterChar"/>
    <w:uiPriority w:val="99"/>
    <w:semiHidden/>
    <w:rsid w:val="0054068F"/>
    <w:pPr>
      <w:tabs>
        <w:tab w:val="center" w:pos="4680"/>
        <w:tab w:val="right" w:pos="9360"/>
      </w:tabs>
    </w:pPr>
  </w:style>
  <w:style w:type="character" w:customStyle="1" w:styleId="FooterChar">
    <w:name w:val="Footer Char"/>
    <w:link w:val="Footer"/>
    <w:uiPriority w:val="99"/>
    <w:rsid w:val="0054068F"/>
    <w:rPr>
      <w:rFonts w:cs="Times New Roman"/>
      <w:sz w:val="22"/>
    </w:rPr>
  </w:style>
  <w:style w:type="paragraph" w:styleId="BalloonText">
    <w:name w:val="Balloon Text"/>
    <w:basedOn w:val="Normal"/>
    <w:link w:val="BalloonTextChar"/>
    <w:uiPriority w:val="99"/>
    <w:semiHidden/>
    <w:rsid w:val="0054068F"/>
    <w:rPr>
      <w:rFonts w:ascii="Lucida Grande" w:hAnsi="Lucida Grande"/>
      <w:sz w:val="18"/>
      <w:szCs w:val="18"/>
    </w:rPr>
  </w:style>
  <w:style w:type="character" w:customStyle="1" w:styleId="BalloonTextChar">
    <w:name w:val="Balloon Text Char"/>
    <w:link w:val="BalloonText"/>
    <w:uiPriority w:val="99"/>
    <w:semiHidden/>
    <w:rsid w:val="00E57EB6"/>
    <w:rPr>
      <w:rFonts w:ascii="Lucida Grande" w:hAnsi="Lucida Grande"/>
      <w:sz w:val="18"/>
      <w:szCs w:val="18"/>
    </w:rPr>
  </w:style>
  <w:style w:type="character" w:styleId="CommentReference">
    <w:name w:val="annotation reference"/>
    <w:uiPriority w:val="99"/>
    <w:semiHidden/>
    <w:rsid w:val="008325BF"/>
    <w:rPr>
      <w:rFonts w:cs="Times New Roman"/>
      <w:sz w:val="16"/>
    </w:rPr>
  </w:style>
  <w:style w:type="paragraph" w:styleId="CommentText">
    <w:name w:val="annotation text"/>
    <w:basedOn w:val="Normal"/>
    <w:link w:val="CommentTextChar"/>
    <w:uiPriority w:val="99"/>
    <w:semiHidden/>
    <w:rsid w:val="008325BF"/>
    <w:rPr>
      <w:sz w:val="20"/>
      <w:szCs w:val="20"/>
    </w:rPr>
  </w:style>
  <w:style w:type="character" w:customStyle="1" w:styleId="CommentTextChar">
    <w:name w:val="Comment Text Char"/>
    <w:link w:val="CommentText"/>
    <w:uiPriority w:val="99"/>
    <w:semiHidden/>
    <w:rsid w:val="008325BF"/>
    <w:rPr>
      <w:rFonts w:cs="Times New Roman"/>
    </w:rPr>
  </w:style>
  <w:style w:type="paragraph" w:styleId="CommentSubject">
    <w:name w:val="annotation subject"/>
    <w:basedOn w:val="CommentText"/>
    <w:next w:val="CommentText"/>
    <w:link w:val="CommentSubjectChar"/>
    <w:uiPriority w:val="99"/>
    <w:semiHidden/>
    <w:rsid w:val="008325BF"/>
    <w:rPr>
      <w:b/>
      <w:bCs/>
    </w:rPr>
  </w:style>
  <w:style w:type="character" w:customStyle="1" w:styleId="CommentSubjectChar">
    <w:name w:val="Comment Subject Char"/>
    <w:link w:val="CommentSubject"/>
    <w:uiPriority w:val="99"/>
    <w:semiHidden/>
    <w:rsid w:val="008325BF"/>
    <w:rPr>
      <w:rFonts w:cs="Times New Roman"/>
      <w:b/>
      <w:bCs/>
    </w:rPr>
  </w:style>
  <w:style w:type="paragraph" w:styleId="NormalWeb">
    <w:name w:val="Normal (Web)"/>
    <w:basedOn w:val="Normal"/>
    <w:rsid w:val="00AD7715"/>
    <w:pPr>
      <w:spacing w:before="100" w:after="100"/>
    </w:pPr>
    <w:rPr>
      <w:rFonts w:eastAsia="Times New Roman"/>
      <w:szCs w:val="20"/>
    </w:rPr>
  </w:style>
  <w:style w:type="paragraph" w:customStyle="1" w:styleId="MediumGrid21">
    <w:name w:val="Medium Grid 21"/>
    <w:uiPriority w:val="1"/>
    <w:qFormat/>
    <w:rsid w:val="00D12FF5"/>
    <w:rPr>
      <w:sz w:val="24"/>
      <w:szCs w:val="22"/>
    </w:rPr>
  </w:style>
  <w:style w:type="paragraph" w:styleId="ListParagraph">
    <w:name w:val="List Paragraph"/>
    <w:basedOn w:val="Normal"/>
    <w:uiPriority w:val="34"/>
    <w:qFormat/>
    <w:rsid w:val="00900859"/>
    <w:pPr>
      <w:spacing w:after="160" w:line="259" w:lineRule="auto"/>
      <w:ind w:left="720"/>
      <w:contextualSpacing/>
    </w:pPr>
    <w:rPr>
      <w:rFonts w:asciiTheme="minorHAnsi" w:eastAsia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1558</Words>
  <Characters>8886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Bylaws</vt:lpstr>
    </vt:vector>
  </TitlesOfParts>
  <Company>Texas A&amp;M University System - Health Science Center</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creator>trmiller</dc:creator>
  <cp:lastModifiedBy>Opperman, Lynne A</cp:lastModifiedBy>
  <cp:revision>2</cp:revision>
  <cp:lastPrinted>2010-09-03T22:20:00Z</cp:lastPrinted>
  <dcterms:created xsi:type="dcterms:W3CDTF">2020-12-04T19:17:00Z</dcterms:created>
  <dcterms:modified xsi:type="dcterms:W3CDTF">2020-12-04T19:17:00Z</dcterms:modified>
</cp:coreProperties>
</file>